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FCAD8">
      <w:pPr>
        <w:keepNext w:val="0"/>
        <w:keepLines w:val="0"/>
        <w:pageBreakBefore w:val="0"/>
        <w:kinsoku/>
        <w:overflowPunct/>
        <w:topLinePunct w:val="0"/>
        <w:bidi w:val="0"/>
        <w:snapToGrid/>
        <w:spacing w:line="600" w:lineRule="exact"/>
        <w:ind w:left="0" w:leftChars="0" w:firstLine="0" w:firstLineChars="0"/>
        <w:jc w:val="center"/>
        <w:rPr>
          <w:rFonts w:ascii="方正小标宋简体" w:hAnsi="宋体" w:eastAsia="方正小标宋简体"/>
          <w:color w:val="000000"/>
          <w:sz w:val="44"/>
          <w:szCs w:val="32"/>
        </w:rPr>
      </w:pPr>
      <w:r>
        <w:rPr>
          <w:rFonts w:hint="eastAsia" w:ascii="方正小标宋简体" w:hAnsi="宋体" w:eastAsia="方正小标宋简体"/>
          <w:color w:val="000000"/>
          <w:sz w:val="44"/>
          <w:szCs w:val="32"/>
        </w:rPr>
        <w:t>团体标准《猪人工授精技术规程》（征求意见稿）编制说明</w:t>
      </w:r>
    </w:p>
    <w:p w14:paraId="0D5136F0">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rPr>
          <w:rFonts w:ascii="黑体" w:hAnsi="黑体" w:eastAsia="黑体" w:cs="仿宋_GB2312"/>
          <w:sz w:val="32"/>
          <w:szCs w:val="32"/>
        </w:rPr>
      </w:pPr>
      <w:r>
        <w:rPr>
          <w:rFonts w:hint="eastAsia" w:ascii="黑体" w:hAnsi="黑体" w:eastAsia="黑体" w:cs="仿宋_GB2312"/>
          <w:sz w:val="32"/>
          <w:szCs w:val="32"/>
        </w:rPr>
        <w:t>一、任务来源、起草单位、主要起草人</w:t>
      </w:r>
    </w:p>
    <w:p w14:paraId="7FB55DF0">
      <w:pPr>
        <w:keepNext w:val="0"/>
        <w:keepLines w:val="0"/>
        <w:pageBreakBefore w:val="0"/>
        <w:kinsoku/>
        <w:overflowPunct/>
        <w:topLinePunct w:val="0"/>
        <w:bidi w:val="0"/>
        <w:snapToGrid/>
        <w:ind w:left="0" w:firstLine="640" w:firstLineChars="200"/>
        <w:rPr>
          <w:rFonts w:ascii="仿宋_GB2312" w:hAnsi="宋体" w:eastAsia="仿宋_GB2312"/>
          <w:sz w:val="32"/>
          <w:szCs w:val="28"/>
        </w:rPr>
      </w:pPr>
      <w:r>
        <w:rPr>
          <w:rFonts w:hint="eastAsia" w:ascii="仿宋_GB2312" w:hAnsi="宋体" w:eastAsia="仿宋_GB2312"/>
          <w:sz w:val="32"/>
          <w:szCs w:val="28"/>
        </w:rPr>
        <w:t>根据《广西标准化协会关于下达20</w:t>
      </w:r>
      <w:r>
        <w:rPr>
          <w:rFonts w:hint="eastAsia" w:ascii="仿宋_GB2312" w:hAnsi="宋体"/>
          <w:sz w:val="32"/>
          <w:szCs w:val="28"/>
          <w:lang w:val="en-US" w:eastAsia="zh-CN"/>
        </w:rPr>
        <w:t>25</w:t>
      </w:r>
      <w:r>
        <w:rPr>
          <w:rFonts w:hint="eastAsia" w:ascii="仿宋_GB2312" w:hAnsi="宋体" w:eastAsia="仿宋_GB2312"/>
          <w:sz w:val="32"/>
          <w:szCs w:val="28"/>
        </w:rPr>
        <w:t>年第</w:t>
      </w:r>
      <w:r>
        <w:rPr>
          <w:rFonts w:hint="eastAsia" w:ascii="仿宋_GB2312" w:hAnsi="宋体"/>
          <w:sz w:val="32"/>
          <w:szCs w:val="28"/>
          <w:lang w:val="en-US" w:eastAsia="zh-CN"/>
        </w:rPr>
        <w:t>二</w:t>
      </w:r>
      <w:r>
        <w:rPr>
          <w:rFonts w:hint="eastAsia" w:ascii="仿宋_GB2312" w:hAnsi="宋体" w:eastAsia="仿宋_GB2312"/>
          <w:sz w:val="32"/>
          <w:szCs w:val="28"/>
          <w:highlight w:val="none"/>
        </w:rPr>
        <w:t>十八批团体标准制修订项目计划的通知》（桂标协〔20</w:t>
      </w:r>
      <w:r>
        <w:rPr>
          <w:rFonts w:hint="eastAsia" w:ascii="仿宋_GB2312" w:hAnsi="宋体"/>
          <w:sz w:val="32"/>
          <w:szCs w:val="28"/>
          <w:highlight w:val="none"/>
          <w:lang w:val="en-US" w:eastAsia="zh-CN"/>
        </w:rPr>
        <w:t>25</w:t>
      </w:r>
      <w:r>
        <w:rPr>
          <w:rFonts w:hint="eastAsia" w:ascii="仿宋_GB2312" w:hAnsi="宋体" w:eastAsia="仿宋_GB2312"/>
          <w:sz w:val="32"/>
          <w:szCs w:val="28"/>
          <w:highlight w:val="none"/>
        </w:rPr>
        <w:t>〕</w:t>
      </w:r>
      <w:r>
        <w:rPr>
          <w:rFonts w:hint="eastAsia" w:ascii="仿宋_GB2312" w:hAnsi="宋体"/>
          <w:sz w:val="32"/>
          <w:szCs w:val="28"/>
          <w:highlight w:val="none"/>
          <w:lang w:val="en-US" w:eastAsia="zh-CN"/>
        </w:rPr>
        <w:t>255</w:t>
      </w:r>
      <w:r>
        <w:rPr>
          <w:rFonts w:hint="eastAsia" w:ascii="仿宋_GB2312" w:hAnsi="宋体" w:eastAsia="仿宋_GB2312"/>
          <w:sz w:val="32"/>
          <w:szCs w:val="28"/>
          <w:highlight w:val="none"/>
        </w:rPr>
        <w:t>号）</w:t>
      </w:r>
      <w:r>
        <w:rPr>
          <w:rFonts w:hint="eastAsia" w:ascii="仿宋_GB2312" w:hAnsi="宋体" w:eastAsia="仿宋_GB2312"/>
          <w:sz w:val="32"/>
          <w:szCs w:val="28"/>
        </w:rPr>
        <w:t>文件精神，</w:t>
      </w:r>
      <w:r>
        <w:rPr>
          <w:rFonts w:hint="eastAsia" w:ascii="仿宋_GB2312" w:hAnsi="宋体" w:eastAsia="仿宋_GB2312"/>
          <w:sz w:val="32"/>
          <w:szCs w:val="28"/>
          <w:highlight w:val="none"/>
        </w:rPr>
        <w:t>由广西畜牧兽医学会提出，广西壮族自治区畜禽品种改良站、广西贵港秀博基因科技股份有限公司、广西农垦永新畜牧集团有限公司良圻原种猪场、广西农垦永新畜牧集团西江有限公司、广西农业职业技术大学、广西海和种猪有限责任公司</w:t>
      </w:r>
      <w:r>
        <w:rPr>
          <w:rFonts w:hint="eastAsia" w:ascii="仿宋_GB2312" w:hAnsi="宋体" w:eastAsia="仿宋_GB2312"/>
          <w:sz w:val="32"/>
          <w:szCs w:val="28"/>
        </w:rPr>
        <w:t>等</w:t>
      </w:r>
      <w:r>
        <w:rPr>
          <w:rFonts w:ascii="仿宋_GB2312" w:hAnsi="宋体" w:eastAsia="仿宋_GB2312"/>
          <w:sz w:val="32"/>
          <w:szCs w:val="28"/>
        </w:rPr>
        <w:t>单位</w:t>
      </w:r>
      <w:r>
        <w:rPr>
          <w:rFonts w:hint="eastAsia" w:ascii="仿宋_GB2312" w:hAnsi="宋体" w:eastAsia="仿宋_GB2312"/>
          <w:sz w:val="32"/>
          <w:szCs w:val="28"/>
        </w:rPr>
        <w:t>共同起草的团体标准《猪人工授精技术规程》（项目编号：</w:t>
      </w:r>
      <w:r>
        <w:rPr>
          <w:rFonts w:hint="eastAsia" w:ascii="仿宋_GB2312" w:hAnsi="宋体" w:eastAsia="仿宋_GB2312"/>
          <w:sz w:val="32"/>
          <w:szCs w:val="28"/>
          <w:highlight w:val="none"/>
        </w:rPr>
        <w:t>20</w:t>
      </w:r>
      <w:r>
        <w:rPr>
          <w:rFonts w:hint="eastAsia" w:ascii="仿宋_GB2312" w:hAnsi="宋体"/>
          <w:sz w:val="32"/>
          <w:szCs w:val="28"/>
          <w:highlight w:val="none"/>
          <w:lang w:val="en-US" w:eastAsia="zh-CN"/>
        </w:rPr>
        <w:t>25</w:t>
      </w:r>
      <w:r>
        <w:rPr>
          <w:rFonts w:hint="eastAsia" w:ascii="仿宋_GB2312" w:hAnsi="宋体" w:eastAsia="仿宋_GB2312"/>
          <w:sz w:val="32"/>
          <w:szCs w:val="28"/>
          <w:highlight w:val="none"/>
        </w:rPr>
        <w:t>-</w:t>
      </w:r>
      <w:r>
        <w:rPr>
          <w:rFonts w:hint="eastAsia" w:ascii="仿宋_GB2312" w:hAnsi="宋体"/>
          <w:sz w:val="32"/>
          <w:szCs w:val="28"/>
          <w:highlight w:val="none"/>
          <w:lang w:val="en-US" w:eastAsia="zh-CN"/>
        </w:rPr>
        <w:t>2801</w:t>
      </w:r>
      <w:r>
        <w:rPr>
          <w:rFonts w:hint="eastAsia" w:ascii="仿宋_GB2312" w:hAnsi="宋体" w:eastAsia="仿宋_GB2312"/>
          <w:sz w:val="32"/>
          <w:szCs w:val="28"/>
        </w:rPr>
        <w:t>）已获批立项。</w:t>
      </w:r>
    </w:p>
    <w:p w14:paraId="134AFA4C">
      <w:pPr>
        <w:keepNext w:val="0"/>
        <w:keepLines w:val="0"/>
        <w:pageBreakBefore w:val="0"/>
        <w:kinsoku/>
        <w:overflowPunct/>
        <w:topLinePunct w:val="0"/>
        <w:bidi w:val="0"/>
        <w:snapToGrid/>
        <w:ind w:left="0" w:firstLine="640" w:firstLineChars="200"/>
        <w:rPr>
          <w:rFonts w:ascii="仿宋_GB2312" w:hAnsi="宋体" w:eastAsia="仿宋_GB2312"/>
          <w:sz w:val="32"/>
          <w:szCs w:val="28"/>
        </w:rPr>
      </w:pPr>
      <w:r>
        <w:rPr>
          <w:rFonts w:hint="eastAsia" w:ascii="仿宋_GB2312" w:hAnsi="宋体" w:eastAsia="仿宋_GB2312"/>
          <w:sz w:val="32"/>
          <w:szCs w:val="28"/>
        </w:rPr>
        <w:t>为高质量编制团体标准《猪人工授精技术规程》，由起草单位成立标准编制工作组并进行如下分工：</w:t>
      </w:r>
    </w:p>
    <w:tbl>
      <w:tblPr>
        <w:tblStyle w:val="7"/>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026"/>
        <w:gridCol w:w="1428"/>
        <w:gridCol w:w="1259"/>
        <w:gridCol w:w="2401"/>
        <w:gridCol w:w="3060"/>
      </w:tblGrid>
      <w:tr w14:paraId="2F98C3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tblHeader/>
        </w:trPr>
        <w:tc>
          <w:tcPr>
            <w:tcW w:w="559" w:type="pct"/>
            <w:tcBorders>
              <w:top w:val="single" w:color="auto" w:sz="8" w:space="0"/>
              <w:bottom w:val="single" w:color="auto" w:sz="8" w:space="0"/>
            </w:tcBorders>
            <w:noWrap w:val="0"/>
            <w:vAlign w:val="center"/>
          </w:tcPr>
          <w:p w14:paraId="0F9FC782">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姓名</w:t>
            </w:r>
          </w:p>
        </w:tc>
        <w:tc>
          <w:tcPr>
            <w:tcW w:w="778" w:type="pct"/>
            <w:tcBorders>
              <w:top w:val="single" w:color="auto" w:sz="8" w:space="0"/>
              <w:bottom w:val="single" w:color="auto" w:sz="8" w:space="0"/>
            </w:tcBorders>
            <w:noWrap w:val="0"/>
            <w:vAlign w:val="center"/>
          </w:tcPr>
          <w:p w14:paraId="7553B03D">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职务/职称</w:t>
            </w:r>
          </w:p>
        </w:tc>
        <w:tc>
          <w:tcPr>
            <w:tcW w:w="686" w:type="pct"/>
            <w:tcBorders>
              <w:top w:val="single" w:color="auto" w:sz="8" w:space="0"/>
              <w:bottom w:val="single" w:color="auto" w:sz="8" w:space="0"/>
            </w:tcBorders>
            <w:noWrap w:val="0"/>
            <w:vAlign w:val="center"/>
          </w:tcPr>
          <w:p w14:paraId="2909A368">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从事专业</w:t>
            </w:r>
          </w:p>
        </w:tc>
        <w:tc>
          <w:tcPr>
            <w:tcW w:w="1308" w:type="pct"/>
            <w:tcBorders>
              <w:top w:val="single" w:color="auto" w:sz="8" w:space="0"/>
              <w:bottom w:val="single" w:color="auto" w:sz="8" w:space="0"/>
            </w:tcBorders>
            <w:noWrap w:val="0"/>
            <w:vAlign w:val="center"/>
          </w:tcPr>
          <w:p w14:paraId="32871317">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工作单位</w:t>
            </w:r>
          </w:p>
        </w:tc>
        <w:tc>
          <w:tcPr>
            <w:tcW w:w="1667" w:type="pct"/>
            <w:tcBorders>
              <w:top w:val="single" w:color="auto" w:sz="8" w:space="0"/>
              <w:bottom w:val="single" w:color="auto" w:sz="8" w:space="0"/>
            </w:tcBorders>
            <w:noWrap w:val="0"/>
            <w:vAlign w:val="center"/>
          </w:tcPr>
          <w:p w14:paraId="7AD299E4">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责任分工</w:t>
            </w:r>
          </w:p>
        </w:tc>
      </w:tr>
      <w:tr w14:paraId="6BDD47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559" w:type="pct"/>
            <w:tcBorders>
              <w:top w:val="single" w:color="auto" w:sz="8" w:space="0"/>
              <w:bottom w:val="single" w:color="auto" w:sz="8" w:space="0"/>
            </w:tcBorders>
            <w:noWrap w:val="0"/>
            <w:vAlign w:val="center"/>
          </w:tcPr>
          <w:p w14:paraId="657148E5">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王英群</w:t>
            </w:r>
          </w:p>
        </w:tc>
        <w:tc>
          <w:tcPr>
            <w:tcW w:w="778" w:type="pct"/>
            <w:tcBorders>
              <w:top w:val="single" w:color="auto" w:sz="8" w:space="0"/>
              <w:bottom w:val="single" w:color="auto" w:sz="8" w:space="0"/>
            </w:tcBorders>
            <w:noWrap w:val="0"/>
            <w:vAlign w:val="center"/>
          </w:tcPr>
          <w:p w14:paraId="7F7DE8C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科室负责人/</w:t>
            </w:r>
            <w:r>
              <w:rPr>
                <w:rFonts w:hint="eastAsia" w:ascii="仿宋_GB2312" w:hAnsi="仿宋_GB2312" w:eastAsia="仿宋_GB2312" w:cs="仿宋_GB2312"/>
                <w:sz w:val="21"/>
                <w:szCs w:val="21"/>
                <w:lang w:eastAsia="zh-CN"/>
              </w:rPr>
              <w:t>高级畜牧师</w:t>
            </w:r>
          </w:p>
        </w:tc>
        <w:tc>
          <w:tcPr>
            <w:tcW w:w="686" w:type="pct"/>
            <w:tcBorders>
              <w:top w:val="single" w:color="auto" w:sz="8" w:space="0"/>
              <w:bottom w:val="single" w:color="auto" w:sz="8" w:space="0"/>
            </w:tcBorders>
            <w:noWrap w:val="0"/>
            <w:vAlign w:val="center"/>
          </w:tcPr>
          <w:p w14:paraId="66DE5FB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2D2FDA9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eastAsia="zh-CN"/>
              </w:rPr>
              <w:t>广西壮族自治区畜禽品种改良站</w:t>
            </w:r>
          </w:p>
        </w:tc>
        <w:tc>
          <w:tcPr>
            <w:tcW w:w="1667" w:type="pct"/>
            <w:tcBorders>
              <w:top w:val="single" w:color="auto" w:sz="8" w:space="0"/>
              <w:bottom w:val="single" w:color="auto" w:sz="8" w:space="0"/>
            </w:tcBorders>
            <w:noWrap w:val="0"/>
            <w:vAlign w:val="center"/>
          </w:tcPr>
          <w:p w14:paraId="2562E151">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both"/>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统筹</w:t>
            </w:r>
            <w:r>
              <w:rPr>
                <w:rFonts w:hint="eastAsia" w:ascii="仿宋_GB2312" w:hAnsi="仿宋_GB2312" w:eastAsia="仿宋_GB2312" w:cs="仿宋_GB2312"/>
                <w:sz w:val="21"/>
                <w:szCs w:val="21"/>
              </w:rPr>
              <w:t>标准编制工作</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组织发布</w:t>
            </w:r>
            <w:r>
              <w:rPr>
                <w:rFonts w:hint="eastAsia" w:ascii="仿宋_GB2312" w:hAnsi="仿宋_GB2312" w:eastAsia="仿宋_GB2312" w:cs="仿宋_GB2312"/>
                <w:sz w:val="21"/>
                <w:szCs w:val="21"/>
                <w:lang w:val="en-US" w:eastAsia="zh-CN"/>
              </w:rPr>
              <w:t>后</w:t>
            </w:r>
            <w:r>
              <w:rPr>
                <w:rFonts w:hint="eastAsia" w:ascii="仿宋_GB2312" w:hAnsi="仿宋_GB2312" w:eastAsia="仿宋_GB2312" w:cs="仿宋_GB2312"/>
                <w:sz w:val="21"/>
                <w:szCs w:val="21"/>
              </w:rPr>
              <w:t>宣贯培训</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i w:val="0"/>
                <w:iCs w:val="0"/>
                <w:color w:val="000000"/>
                <w:kern w:val="0"/>
                <w:sz w:val="21"/>
                <w:szCs w:val="21"/>
                <w:u w:val="none"/>
                <w:lang w:val="en-US" w:eastAsia="zh-CN" w:bidi="ar"/>
              </w:rPr>
              <w:t>对标准实施情况进行总结分析，不断对团体标准提出修正意见。</w:t>
            </w:r>
          </w:p>
        </w:tc>
      </w:tr>
      <w:tr w14:paraId="612ACA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559" w:type="pct"/>
            <w:tcBorders>
              <w:top w:val="single" w:color="auto" w:sz="8" w:space="0"/>
              <w:bottom w:val="single" w:color="auto" w:sz="8" w:space="0"/>
            </w:tcBorders>
            <w:noWrap w:val="0"/>
            <w:vAlign w:val="center"/>
          </w:tcPr>
          <w:p w14:paraId="3BA94B83">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叶</w:t>
            </w:r>
            <w:r>
              <w:rPr>
                <w:rFonts w:hint="eastAsia" w:ascii="仿宋_GB2312" w:hAnsi="仿宋_GB2312" w:cs="仿宋_GB2312"/>
                <w:sz w:val="21"/>
                <w:szCs w:val="21"/>
                <w:lang w:val="en-US" w:eastAsia="zh-CN"/>
              </w:rPr>
              <w:t xml:space="preserve">  </w:t>
            </w:r>
            <w:r>
              <w:rPr>
                <w:rFonts w:hint="eastAsia" w:ascii="仿宋_GB2312" w:hAnsi="仿宋_GB2312" w:eastAsia="仿宋_GB2312" w:cs="仿宋_GB2312"/>
                <w:sz w:val="21"/>
                <w:szCs w:val="21"/>
              </w:rPr>
              <w:t>礼</w:t>
            </w:r>
          </w:p>
        </w:tc>
        <w:tc>
          <w:tcPr>
            <w:tcW w:w="778" w:type="pct"/>
            <w:tcBorders>
              <w:top w:val="single" w:color="auto" w:sz="8" w:space="0"/>
              <w:bottom w:val="single" w:color="auto" w:sz="8" w:space="0"/>
            </w:tcBorders>
            <w:noWrap w:val="0"/>
            <w:vAlign w:val="center"/>
          </w:tcPr>
          <w:p w14:paraId="4EB945FF">
            <w:pPr>
              <w:keepNext w:val="0"/>
              <w:keepLines w:val="0"/>
              <w:pageBreakBefore w:val="0"/>
              <w:widowControl/>
              <w:suppressLineNumbers w:val="0"/>
              <w:kinsoku/>
              <w:wordWrap/>
              <w:overflowPunct/>
              <w:topLinePunct w:val="0"/>
              <w:autoSpaceDE/>
              <w:autoSpaceDN/>
              <w:bidi w:val="0"/>
              <w:adjustRightInd/>
              <w:snapToGrid/>
              <w:spacing w:line="240" w:lineRule="auto"/>
              <w:ind w:left="0" w:firstLine="0" w:firstLineChars="0"/>
              <w:jc w:val="center"/>
              <w:textAlignment w:val="center"/>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总监/</w:t>
            </w:r>
            <w:r>
              <w:rPr>
                <w:rFonts w:hint="eastAsia" w:ascii="仿宋_GB2312" w:hAnsi="仿宋_GB2312" w:eastAsia="仿宋_GB2312" w:cs="仿宋_GB2312"/>
                <w:sz w:val="21"/>
                <w:szCs w:val="21"/>
              </w:rPr>
              <w:t>兽医师</w:t>
            </w:r>
          </w:p>
        </w:tc>
        <w:tc>
          <w:tcPr>
            <w:tcW w:w="686" w:type="pct"/>
            <w:tcBorders>
              <w:top w:val="single" w:color="auto" w:sz="8" w:space="0"/>
              <w:bottom w:val="single" w:color="auto" w:sz="8" w:space="0"/>
            </w:tcBorders>
            <w:noWrap w:val="0"/>
            <w:vAlign w:val="center"/>
          </w:tcPr>
          <w:p w14:paraId="459DCEFA">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sz w:val="21"/>
                <w:szCs w:val="21"/>
              </w:rPr>
            </w:pPr>
            <w:r>
              <w:rPr>
                <w:rFonts w:hint="eastAsia" w:ascii="仿宋_GB2312" w:hAnsi="仿宋_GB2312" w:eastAsia="仿宋_GB2312" w:cs="仿宋_GB2312"/>
                <w:i w:val="0"/>
                <w:iCs w:val="0"/>
                <w:color w:val="000000"/>
                <w:kern w:val="0"/>
                <w:sz w:val="21"/>
                <w:szCs w:val="21"/>
                <w:u w:val="none"/>
                <w:lang w:val="en-US" w:eastAsia="zh-CN" w:bidi="ar"/>
              </w:rPr>
              <w:t>畜牧</w:t>
            </w:r>
          </w:p>
        </w:tc>
        <w:tc>
          <w:tcPr>
            <w:tcW w:w="1308" w:type="pct"/>
            <w:tcBorders>
              <w:top w:val="single" w:color="auto" w:sz="8" w:space="0"/>
              <w:bottom w:val="single" w:color="auto" w:sz="8" w:space="0"/>
            </w:tcBorders>
            <w:noWrap w:val="0"/>
            <w:vAlign w:val="center"/>
          </w:tcPr>
          <w:p w14:paraId="63931A5B">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sz w:val="21"/>
                <w:szCs w:val="21"/>
              </w:rPr>
            </w:pPr>
            <w:r>
              <w:rPr>
                <w:rFonts w:hint="eastAsia" w:ascii="仿宋_GB2312" w:hAnsi="仿宋_GB2312" w:eastAsia="仿宋_GB2312" w:cs="仿宋_GB2312"/>
                <w:color w:val="auto"/>
                <w:sz w:val="21"/>
                <w:szCs w:val="21"/>
              </w:rPr>
              <w:t>广西贵港秀博基因科技股份有限公司</w:t>
            </w:r>
          </w:p>
        </w:tc>
        <w:tc>
          <w:tcPr>
            <w:tcW w:w="1667" w:type="pct"/>
            <w:tcBorders>
              <w:top w:val="single" w:color="auto" w:sz="8" w:space="0"/>
              <w:bottom w:val="single" w:color="auto" w:sz="8" w:space="0"/>
            </w:tcBorders>
            <w:noWrap w:val="0"/>
            <w:vAlign w:val="center"/>
          </w:tcPr>
          <w:p w14:paraId="3B61CDD2">
            <w:pPr>
              <w:keepNext w:val="0"/>
              <w:keepLines w:val="0"/>
              <w:pageBreakBefore w:val="0"/>
              <w:kinsoku/>
              <w:wordWrap/>
              <w:overflowPunct/>
              <w:topLinePunct w:val="0"/>
              <w:autoSpaceDE/>
              <w:autoSpaceDN/>
              <w:bidi w:val="0"/>
              <w:adjustRightInd/>
              <w:snapToGrid/>
              <w:spacing w:line="240" w:lineRule="auto"/>
              <w:ind w:left="0" w:firstLine="0" w:firstLineChars="0"/>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据资料收集、标准发布后的宣贯培训，对标准进行详细解读。</w:t>
            </w:r>
          </w:p>
        </w:tc>
      </w:tr>
      <w:tr w14:paraId="3F1F36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559" w:type="pct"/>
            <w:tcBorders>
              <w:top w:val="single" w:color="auto" w:sz="8" w:space="0"/>
              <w:bottom w:val="single" w:color="auto" w:sz="8" w:space="0"/>
            </w:tcBorders>
            <w:noWrap w:val="0"/>
            <w:vAlign w:val="center"/>
          </w:tcPr>
          <w:p w14:paraId="42A6838F">
            <w:pPr>
              <w:keepNext w:val="0"/>
              <w:keepLines w:val="0"/>
              <w:pageBreakBefore w:val="0"/>
              <w:widowControl/>
              <w:suppressLineNumbers w:val="0"/>
              <w:kinsoku/>
              <w:wordWrap/>
              <w:overflowPunct/>
              <w:topLinePunct w:val="0"/>
              <w:autoSpaceDE/>
              <w:autoSpaceDN/>
              <w:bidi w:val="0"/>
              <w:adjustRightInd/>
              <w:snapToGrid/>
              <w:spacing w:line="240" w:lineRule="auto"/>
              <w:ind w:left="0" w:firstLine="0" w:firstLineChars="0"/>
              <w:jc w:val="center"/>
              <w:textAlignment w:val="center"/>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韦富康</w:t>
            </w:r>
          </w:p>
        </w:tc>
        <w:tc>
          <w:tcPr>
            <w:tcW w:w="778" w:type="pct"/>
            <w:tcBorders>
              <w:top w:val="single" w:color="auto" w:sz="8" w:space="0"/>
              <w:bottom w:val="single" w:color="auto" w:sz="8" w:space="0"/>
            </w:tcBorders>
            <w:noWrap w:val="0"/>
            <w:vAlign w:val="center"/>
          </w:tcPr>
          <w:p w14:paraId="2A7C309C">
            <w:pPr>
              <w:keepNext w:val="0"/>
              <w:keepLines w:val="0"/>
              <w:pageBreakBefore w:val="0"/>
              <w:widowControl/>
              <w:suppressLineNumbers w:val="0"/>
              <w:kinsoku/>
              <w:wordWrap/>
              <w:overflowPunct/>
              <w:topLinePunct w:val="0"/>
              <w:autoSpaceDE/>
              <w:autoSpaceDN/>
              <w:bidi w:val="0"/>
              <w:adjustRightInd/>
              <w:snapToGrid/>
              <w:spacing w:line="240" w:lineRule="auto"/>
              <w:ind w:left="0" w:firstLine="0" w:firstLineChars="0"/>
              <w:jc w:val="center"/>
              <w:textAlignment w:val="center"/>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副总经理/畜牧师</w:t>
            </w:r>
          </w:p>
        </w:tc>
        <w:tc>
          <w:tcPr>
            <w:tcW w:w="686" w:type="pct"/>
            <w:tcBorders>
              <w:top w:val="single" w:color="auto" w:sz="8" w:space="0"/>
              <w:bottom w:val="single" w:color="auto" w:sz="8" w:space="0"/>
            </w:tcBorders>
            <w:noWrap w:val="0"/>
            <w:vAlign w:val="center"/>
          </w:tcPr>
          <w:p w14:paraId="14F9D1AE">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sz w:val="21"/>
                <w:szCs w:val="21"/>
              </w:rPr>
            </w:pPr>
            <w:r>
              <w:rPr>
                <w:rFonts w:hint="eastAsia" w:ascii="仿宋_GB2312" w:hAnsi="仿宋_GB2312" w:eastAsia="仿宋_GB2312" w:cs="仿宋_GB2312"/>
                <w:i w:val="0"/>
                <w:iCs w:val="0"/>
                <w:color w:val="000000"/>
                <w:kern w:val="0"/>
                <w:sz w:val="21"/>
                <w:szCs w:val="21"/>
                <w:u w:val="none"/>
                <w:lang w:val="en-US" w:eastAsia="zh-CN" w:bidi="ar"/>
              </w:rPr>
              <w:t>畜牧</w:t>
            </w:r>
          </w:p>
        </w:tc>
        <w:tc>
          <w:tcPr>
            <w:tcW w:w="1308" w:type="pct"/>
            <w:tcBorders>
              <w:top w:val="single" w:color="auto" w:sz="8" w:space="0"/>
              <w:bottom w:val="single" w:color="auto" w:sz="8" w:space="0"/>
            </w:tcBorders>
            <w:noWrap w:val="0"/>
            <w:vAlign w:val="center"/>
          </w:tcPr>
          <w:p w14:paraId="5830B130">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广西农垦永新畜牧集团有限公司良圻原种猪场</w:t>
            </w:r>
          </w:p>
        </w:tc>
        <w:tc>
          <w:tcPr>
            <w:tcW w:w="1667" w:type="pct"/>
            <w:tcBorders>
              <w:top w:val="single" w:color="auto" w:sz="8" w:space="0"/>
              <w:bottom w:val="single" w:color="auto" w:sz="8" w:space="0"/>
            </w:tcBorders>
            <w:noWrap w:val="0"/>
            <w:vAlign w:val="center"/>
          </w:tcPr>
          <w:p w14:paraId="2D241A4B">
            <w:pPr>
              <w:keepNext w:val="0"/>
              <w:keepLines w:val="0"/>
              <w:pageBreakBefore w:val="0"/>
              <w:kinsoku/>
              <w:wordWrap/>
              <w:overflowPunct/>
              <w:topLinePunct w:val="0"/>
              <w:autoSpaceDE/>
              <w:autoSpaceDN/>
              <w:bidi w:val="0"/>
              <w:adjustRightInd/>
              <w:snapToGrid/>
              <w:spacing w:line="240" w:lineRule="auto"/>
              <w:ind w:left="0" w:firstLine="0" w:firstLineChars="0"/>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据资料收集、标准发布后的宣贯培训，对标准进行详细解读。</w:t>
            </w:r>
          </w:p>
        </w:tc>
      </w:tr>
      <w:tr w14:paraId="622934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559" w:type="pct"/>
            <w:tcBorders>
              <w:top w:val="single" w:color="auto" w:sz="8" w:space="0"/>
              <w:bottom w:val="single" w:color="auto" w:sz="8" w:space="0"/>
            </w:tcBorders>
            <w:noWrap w:val="0"/>
            <w:vAlign w:val="center"/>
          </w:tcPr>
          <w:p w14:paraId="7FCD5E79">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rPr>
              <w:t>唐胤晟</w:t>
            </w:r>
          </w:p>
        </w:tc>
        <w:tc>
          <w:tcPr>
            <w:tcW w:w="778" w:type="pct"/>
            <w:tcBorders>
              <w:top w:val="single" w:color="auto" w:sz="8" w:space="0"/>
              <w:bottom w:val="single" w:color="auto" w:sz="8" w:space="0"/>
            </w:tcBorders>
            <w:noWrap w:val="0"/>
            <w:vAlign w:val="center"/>
          </w:tcPr>
          <w:p w14:paraId="6F532918">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高级</w:t>
            </w:r>
          </w:p>
          <w:p w14:paraId="257A7461">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rPr>
              <w:t>畜牧师</w:t>
            </w:r>
          </w:p>
        </w:tc>
        <w:tc>
          <w:tcPr>
            <w:tcW w:w="686" w:type="pct"/>
            <w:tcBorders>
              <w:top w:val="single" w:color="auto" w:sz="8" w:space="0"/>
              <w:bottom w:val="single" w:color="auto" w:sz="8" w:space="0"/>
            </w:tcBorders>
            <w:noWrap w:val="0"/>
            <w:vAlign w:val="center"/>
          </w:tcPr>
          <w:p w14:paraId="31F721C5">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589D36AE">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广西壮族自治区畜禽品种改良站</w:t>
            </w:r>
          </w:p>
        </w:tc>
        <w:tc>
          <w:tcPr>
            <w:tcW w:w="1667" w:type="pct"/>
            <w:tcBorders>
              <w:top w:val="single" w:color="auto" w:sz="8" w:space="0"/>
              <w:bottom w:val="single" w:color="auto" w:sz="8" w:space="0"/>
            </w:tcBorders>
            <w:noWrap w:val="0"/>
            <w:vAlign w:val="center"/>
          </w:tcPr>
          <w:p w14:paraId="2AC2FCA3">
            <w:pPr>
              <w:keepNext w:val="0"/>
              <w:keepLines w:val="0"/>
              <w:pageBreakBefore w:val="0"/>
              <w:kinsoku/>
              <w:wordWrap/>
              <w:overflowPunct/>
              <w:topLinePunct w:val="0"/>
              <w:autoSpaceDE/>
              <w:autoSpaceDN/>
              <w:bidi w:val="0"/>
              <w:adjustRightInd/>
              <w:snapToGrid/>
              <w:spacing w:line="240" w:lineRule="auto"/>
              <w:ind w:left="0" w:firstLine="0" w:firstLineChars="0"/>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对标准实施情况进行总结分析，不断对团体标准提出修正意见。</w:t>
            </w:r>
          </w:p>
        </w:tc>
      </w:tr>
      <w:tr w14:paraId="6F333D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559" w:type="pct"/>
            <w:tcBorders>
              <w:top w:val="single" w:color="auto" w:sz="8" w:space="0"/>
              <w:bottom w:val="single" w:color="auto" w:sz="8" w:space="0"/>
            </w:tcBorders>
            <w:noWrap w:val="0"/>
            <w:vAlign w:val="center"/>
          </w:tcPr>
          <w:p w14:paraId="38416961">
            <w:pPr>
              <w:keepNext w:val="0"/>
              <w:keepLines w:val="0"/>
              <w:pageBreakBefore w:val="0"/>
              <w:widowControl/>
              <w:suppressLineNumbers w:val="0"/>
              <w:kinsoku/>
              <w:wordWrap/>
              <w:overflowPunct/>
              <w:topLinePunct w:val="0"/>
              <w:autoSpaceDE/>
              <w:autoSpaceDN/>
              <w:bidi w:val="0"/>
              <w:adjustRightInd/>
              <w:snapToGrid/>
              <w:spacing w:line="240" w:lineRule="auto"/>
              <w:ind w:left="0" w:firstLine="0" w:firstLineChars="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林昌华</w:t>
            </w:r>
          </w:p>
        </w:tc>
        <w:tc>
          <w:tcPr>
            <w:tcW w:w="778" w:type="pct"/>
            <w:tcBorders>
              <w:top w:val="single" w:color="auto" w:sz="8" w:space="0"/>
              <w:bottom w:val="single" w:color="auto" w:sz="8" w:space="0"/>
            </w:tcBorders>
            <w:noWrap w:val="0"/>
            <w:vAlign w:val="center"/>
          </w:tcPr>
          <w:p w14:paraId="68C83891">
            <w:pPr>
              <w:keepNext w:val="0"/>
              <w:keepLines w:val="0"/>
              <w:pageBreakBefore w:val="0"/>
              <w:widowControl/>
              <w:suppressLineNumbers w:val="0"/>
              <w:kinsoku/>
              <w:wordWrap/>
              <w:overflowPunct/>
              <w:topLinePunct w:val="0"/>
              <w:autoSpaceDE/>
              <w:autoSpaceDN/>
              <w:bidi w:val="0"/>
              <w:adjustRightInd/>
              <w:snapToGrid/>
              <w:spacing w:line="240" w:lineRule="auto"/>
              <w:ind w:left="0" w:firstLine="0" w:firstLineChars="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副总经理/高级兽医师</w:t>
            </w:r>
          </w:p>
        </w:tc>
        <w:tc>
          <w:tcPr>
            <w:tcW w:w="686" w:type="pct"/>
            <w:tcBorders>
              <w:top w:val="single" w:color="auto" w:sz="8" w:space="0"/>
              <w:bottom w:val="single" w:color="auto" w:sz="8" w:space="0"/>
            </w:tcBorders>
            <w:noWrap w:val="0"/>
            <w:vAlign w:val="center"/>
          </w:tcPr>
          <w:p w14:paraId="055FE611">
            <w:pPr>
              <w:keepNext w:val="0"/>
              <w:keepLines w:val="0"/>
              <w:pageBreakBefore w:val="0"/>
              <w:widowControl/>
              <w:suppressLineNumbers w:val="0"/>
              <w:kinsoku/>
              <w:wordWrap/>
              <w:overflowPunct/>
              <w:topLinePunct w:val="0"/>
              <w:autoSpaceDE/>
              <w:autoSpaceDN/>
              <w:bidi w:val="0"/>
              <w:adjustRightInd/>
              <w:snapToGrid/>
              <w:spacing w:line="240" w:lineRule="auto"/>
              <w:ind w:left="0" w:firstLine="0" w:firstLineChars="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畜牧</w:t>
            </w:r>
          </w:p>
        </w:tc>
        <w:tc>
          <w:tcPr>
            <w:tcW w:w="1308" w:type="pct"/>
            <w:tcBorders>
              <w:top w:val="single" w:color="auto" w:sz="8" w:space="0"/>
              <w:bottom w:val="single" w:color="auto" w:sz="8" w:space="0"/>
            </w:tcBorders>
            <w:noWrap w:val="0"/>
            <w:vAlign w:val="center"/>
          </w:tcPr>
          <w:p w14:paraId="1997C37E">
            <w:pPr>
              <w:keepNext w:val="0"/>
              <w:keepLines w:val="0"/>
              <w:pageBreakBefore w:val="0"/>
              <w:widowControl/>
              <w:suppressLineNumbers w:val="0"/>
              <w:kinsoku/>
              <w:wordWrap/>
              <w:overflowPunct/>
              <w:topLinePunct w:val="0"/>
              <w:autoSpaceDE/>
              <w:autoSpaceDN/>
              <w:bidi w:val="0"/>
              <w:adjustRightInd/>
              <w:snapToGrid/>
              <w:spacing w:line="240" w:lineRule="auto"/>
              <w:ind w:left="0" w:firstLine="0" w:firstLineChars="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广西农垦永新畜牧集团有限公司良圻原种猪场</w:t>
            </w:r>
          </w:p>
        </w:tc>
        <w:tc>
          <w:tcPr>
            <w:tcW w:w="1667" w:type="pct"/>
            <w:tcBorders>
              <w:top w:val="single" w:color="auto" w:sz="8" w:space="0"/>
              <w:bottom w:val="single" w:color="auto" w:sz="8" w:space="0"/>
            </w:tcBorders>
            <w:noWrap w:val="0"/>
            <w:vAlign w:val="center"/>
          </w:tcPr>
          <w:p w14:paraId="3466A161">
            <w:pPr>
              <w:keepNext w:val="0"/>
              <w:keepLines w:val="0"/>
              <w:pageBreakBefore w:val="0"/>
              <w:widowControl/>
              <w:suppressLineNumbers w:val="0"/>
              <w:kinsoku/>
              <w:wordWrap/>
              <w:overflowPunct/>
              <w:topLinePunct w:val="0"/>
              <w:autoSpaceDE/>
              <w:autoSpaceDN/>
              <w:bidi w:val="0"/>
              <w:adjustRightInd/>
              <w:snapToGrid/>
              <w:spacing w:line="240" w:lineRule="auto"/>
              <w:ind w:left="0" w:firstLine="0" w:firstLineChars="0"/>
              <w:jc w:val="both"/>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据资料收集、标准发布后的宣贯培训，对标准进行详细解读。</w:t>
            </w:r>
          </w:p>
        </w:tc>
      </w:tr>
      <w:tr w14:paraId="7B0FB4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17022789">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陈宝剑</w:t>
            </w:r>
          </w:p>
        </w:tc>
        <w:tc>
          <w:tcPr>
            <w:tcW w:w="778" w:type="pct"/>
            <w:tcBorders>
              <w:top w:val="single" w:color="auto" w:sz="8" w:space="0"/>
              <w:bottom w:val="single" w:color="auto" w:sz="8" w:space="0"/>
            </w:tcBorders>
            <w:noWrap w:val="0"/>
            <w:vAlign w:val="center"/>
          </w:tcPr>
          <w:p w14:paraId="47F18355">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高级畜牧师</w:t>
            </w:r>
          </w:p>
        </w:tc>
        <w:tc>
          <w:tcPr>
            <w:tcW w:w="686" w:type="pct"/>
            <w:tcBorders>
              <w:top w:val="single" w:color="auto" w:sz="8" w:space="0"/>
              <w:bottom w:val="single" w:color="auto" w:sz="8" w:space="0"/>
            </w:tcBorders>
            <w:noWrap w:val="0"/>
            <w:vAlign w:val="center"/>
          </w:tcPr>
          <w:p w14:paraId="4C30B143">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2B52DD76">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rPr>
              <w:t>广西农业职业技术大学</w:t>
            </w:r>
          </w:p>
        </w:tc>
        <w:tc>
          <w:tcPr>
            <w:tcW w:w="1667" w:type="pct"/>
            <w:tcBorders>
              <w:top w:val="single" w:color="auto" w:sz="8" w:space="0"/>
              <w:bottom w:val="single" w:color="auto" w:sz="8" w:space="0"/>
            </w:tcBorders>
            <w:noWrap w:val="0"/>
            <w:vAlign w:val="center"/>
          </w:tcPr>
          <w:p w14:paraId="4335EEAB">
            <w:pPr>
              <w:keepNext w:val="0"/>
              <w:keepLines w:val="0"/>
              <w:pageBreakBefore w:val="0"/>
              <w:kinsoku/>
              <w:wordWrap/>
              <w:overflowPunct/>
              <w:topLinePunct w:val="0"/>
              <w:autoSpaceDE/>
              <w:autoSpaceDN/>
              <w:bidi w:val="0"/>
              <w:adjustRightInd/>
              <w:snapToGrid/>
              <w:spacing w:line="240" w:lineRule="auto"/>
              <w:ind w:left="0" w:firstLine="0" w:firstLineChars="0"/>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对标准实施情况进行总结分析，不断对团体标准提出修正意见。</w:t>
            </w:r>
          </w:p>
        </w:tc>
      </w:tr>
      <w:tr w14:paraId="16A5CE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56DE83F8">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张胜斌</w:t>
            </w:r>
          </w:p>
        </w:tc>
        <w:tc>
          <w:tcPr>
            <w:tcW w:w="778" w:type="pct"/>
            <w:tcBorders>
              <w:top w:val="single" w:color="auto" w:sz="8" w:space="0"/>
              <w:bottom w:val="single" w:color="auto" w:sz="8" w:space="0"/>
            </w:tcBorders>
            <w:noWrap w:val="0"/>
            <w:vAlign w:val="center"/>
          </w:tcPr>
          <w:p w14:paraId="55CBDBD1">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高级兽医师</w:t>
            </w:r>
          </w:p>
        </w:tc>
        <w:tc>
          <w:tcPr>
            <w:tcW w:w="686" w:type="pct"/>
            <w:tcBorders>
              <w:top w:val="single" w:color="auto" w:sz="8" w:space="0"/>
              <w:bottom w:val="single" w:color="auto" w:sz="8" w:space="0"/>
            </w:tcBorders>
            <w:noWrap w:val="0"/>
            <w:vAlign w:val="center"/>
          </w:tcPr>
          <w:p w14:paraId="0C79E529">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15AC4369">
            <w:pPr>
              <w:keepNext w:val="0"/>
              <w:keepLines w:val="0"/>
              <w:pageBreakBefore w:val="0"/>
              <w:widowControl/>
              <w:suppressLineNumbers w:val="0"/>
              <w:kinsoku/>
              <w:wordWrap/>
              <w:overflowPunct/>
              <w:topLinePunct w:val="0"/>
              <w:autoSpaceDE/>
              <w:autoSpaceDN/>
              <w:bidi w:val="0"/>
              <w:adjustRightInd/>
              <w:snapToGrid/>
              <w:spacing w:line="240" w:lineRule="auto"/>
              <w:ind w:left="0" w:firstLine="0" w:firstLineChars="0"/>
              <w:jc w:val="center"/>
              <w:textAlignment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广西农垦永新畜牧集团西江有限公司</w:t>
            </w:r>
          </w:p>
        </w:tc>
        <w:tc>
          <w:tcPr>
            <w:tcW w:w="1667" w:type="pct"/>
            <w:tcBorders>
              <w:top w:val="single" w:color="auto" w:sz="8" w:space="0"/>
              <w:bottom w:val="single" w:color="auto" w:sz="8" w:space="0"/>
            </w:tcBorders>
            <w:noWrap w:val="0"/>
            <w:vAlign w:val="center"/>
          </w:tcPr>
          <w:p w14:paraId="4EF3B486">
            <w:pPr>
              <w:keepNext w:val="0"/>
              <w:keepLines w:val="0"/>
              <w:pageBreakBefore w:val="0"/>
              <w:kinsoku/>
              <w:wordWrap/>
              <w:overflowPunct/>
              <w:topLinePunct w:val="0"/>
              <w:autoSpaceDE/>
              <w:autoSpaceDN/>
              <w:bidi w:val="0"/>
              <w:adjustRightInd/>
              <w:snapToGrid/>
              <w:spacing w:line="240" w:lineRule="auto"/>
              <w:ind w:left="0" w:firstLine="0" w:firstLineChars="0"/>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据资料收集、标准发布后的宣贯培训，对标准进行详细解读。</w:t>
            </w:r>
          </w:p>
        </w:tc>
      </w:tr>
      <w:tr w14:paraId="6B498A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2F8BABAF">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陶小斌</w:t>
            </w:r>
          </w:p>
        </w:tc>
        <w:tc>
          <w:tcPr>
            <w:tcW w:w="778" w:type="pct"/>
            <w:tcBorders>
              <w:top w:val="single" w:color="auto" w:sz="8" w:space="0"/>
              <w:bottom w:val="single" w:color="auto" w:sz="8" w:space="0"/>
            </w:tcBorders>
            <w:noWrap w:val="0"/>
            <w:vAlign w:val="center"/>
          </w:tcPr>
          <w:p w14:paraId="276BE32A">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兽医师</w:t>
            </w:r>
          </w:p>
        </w:tc>
        <w:tc>
          <w:tcPr>
            <w:tcW w:w="686" w:type="pct"/>
            <w:tcBorders>
              <w:top w:val="single" w:color="auto" w:sz="8" w:space="0"/>
              <w:bottom w:val="single" w:color="auto" w:sz="8" w:space="0"/>
            </w:tcBorders>
            <w:noWrap w:val="0"/>
            <w:vAlign w:val="center"/>
          </w:tcPr>
          <w:p w14:paraId="2D761193">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342C37F5">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广西海和种猪有限责任公司</w:t>
            </w:r>
          </w:p>
        </w:tc>
        <w:tc>
          <w:tcPr>
            <w:tcW w:w="1667" w:type="pct"/>
            <w:tcBorders>
              <w:top w:val="single" w:color="auto" w:sz="8" w:space="0"/>
              <w:bottom w:val="single" w:color="auto" w:sz="8" w:space="0"/>
            </w:tcBorders>
            <w:noWrap w:val="0"/>
            <w:vAlign w:val="center"/>
          </w:tcPr>
          <w:p w14:paraId="5875D7B8">
            <w:pPr>
              <w:keepNext w:val="0"/>
              <w:keepLines w:val="0"/>
              <w:pageBreakBefore w:val="0"/>
              <w:kinsoku/>
              <w:wordWrap/>
              <w:overflowPunct/>
              <w:topLinePunct w:val="0"/>
              <w:autoSpaceDE/>
              <w:autoSpaceDN/>
              <w:bidi w:val="0"/>
              <w:adjustRightInd/>
              <w:snapToGrid/>
              <w:spacing w:line="240" w:lineRule="auto"/>
              <w:ind w:left="0" w:firstLine="0" w:firstLineChars="0"/>
              <w:jc w:val="both"/>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数据资料收集、标准发布后的宣贯培训，对标准进行详细解读。</w:t>
            </w:r>
          </w:p>
        </w:tc>
      </w:tr>
      <w:tr w14:paraId="7E2165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178944F0">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 w:val="21"/>
                <w:szCs w:val="21"/>
                <w:lang w:eastAsia="zh-CN"/>
              </w:rPr>
              <w:t>许春荣</w:t>
            </w:r>
          </w:p>
        </w:tc>
        <w:tc>
          <w:tcPr>
            <w:tcW w:w="778" w:type="pct"/>
            <w:tcBorders>
              <w:top w:val="single" w:color="auto" w:sz="8" w:space="0"/>
              <w:bottom w:val="single" w:color="auto" w:sz="8" w:space="0"/>
            </w:tcBorders>
            <w:noWrap w:val="0"/>
            <w:vAlign w:val="center"/>
          </w:tcPr>
          <w:p w14:paraId="38949E98">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高级畜牧师</w:t>
            </w:r>
          </w:p>
        </w:tc>
        <w:tc>
          <w:tcPr>
            <w:tcW w:w="686" w:type="pct"/>
            <w:tcBorders>
              <w:top w:val="single" w:color="auto" w:sz="8" w:space="0"/>
              <w:bottom w:val="single" w:color="auto" w:sz="8" w:space="0"/>
            </w:tcBorders>
            <w:noWrap w:val="0"/>
            <w:vAlign w:val="center"/>
          </w:tcPr>
          <w:p w14:paraId="13F6A2DD">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745D0BB9">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广西壮族自治区畜禽品种改良站</w:t>
            </w:r>
          </w:p>
        </w:tc>
        <w:tc>
          <w:tcPr>
            <w:tcW w:w="1667" w:type="pct"/>
            <w:tcBorders>
              <w:top w:val="single" w:color="auto" w:sz="8" w:space="0"/>
              <w:bottom w:val="single" w:color="auto" w:sz="8" w:space="0"/>
            </w:tcBorders>
            <w:noWrap w:val="0"/>
            <w:vAlign w:val="center"/>
          </w:tcPr>
          <w:p w14:paraId="011FBEBC">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baseline"/>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据资料收集、标准发布后的宣贯培训，对标准进行详细解读。</w:t>
            </w:r>
          </w:p>
        </w:tc>
      </w:tr>
      <w:tr w14:paraId="6567AE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566CEBEF">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邓祝新</w:t>
            </w:r>
          </w:p>
        </w:tc>
        <w:tc>
          <w:tcPr>
            <w:tcW w:w="778" w:type="pct"/>
            <w:tcBorders>
              <w:top w:val="single" w:color="auto" w:sz="8" w:space="0"/>
              <w:bottom w:val="single" w:color="auto" w:sz="8" w:space="0"/>
            </w:tcBorders>
            <w:noWrap w:val="0"/>
            <w:vAlign w:val="center"/>
          </w:tcPr>
          <w:p w14:paraId="1EE4BC33">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高级畜牧师</w:t>
            </w:r>
          </w:p>
        </w:tc>
        <w:tc>
          <w:tcPr>
            <w:tcW w:w="686" w:type="pct"/>
            <w:tcBorders>
              <w:top w:val="single" w:color="auto" w:sz="8" w:space="0"/>
              <w:bottom w:val="single" w:color="auto" w:sz="8" w:space="0"/>
            </w:tcBorders>
            <w:noWrap w:val="0"/>
            <w:vAlign w:val="center"/>
          </w:tcPr>
          <w:p w14:paraId="6846E939">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7DD05969">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广西壮族自治区畜禽品种改良站</w:t>
            </w:r>
          </w:p>
        </w:tc>
        <w:tc>
          <w:tcPr>
            <w:tcW w:w="1667" w:type="pct"/>
            <w:tcBorders>
              <w:top w:val="single" w:color="auto" w:sz="8" w:space="0"/>
              <w:bottom w:val="single" w:color="auto" w:sz="8" w:space="0"/>
            </w:tcBorders>
            <w:noWrap w:val="0"/>
            <w:vAlign w:val="center"/>
          </w:tcPr>
          <w:p w14:paraId="17B4BEC8">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baseline"/>
              <w:rPr>
                <w:rFonts w:hint="eastAsia" w:ascii="仿宋_GB2312" w:hAnsi="仿宋_GB2312" w:eastAsia="仿宋_GB2312" w:cs="仿宋_GB2312"/>
                <w:color w:val="222222"/>
                <w:kern w:val="2"/>
                <w:sz w:val="21"/>
                <w:szCs w:val="21"/>
                <w:lang w:val="en-US" w:eastAsia="zh-CN" w:bidi="ar-SA"/>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据资料收集、标准发布后的宣贯培训，对标准进行详细解读。</w:t>
            </w:r>
          </w:p>
        </w:tc>
      </w:tr>
      <w:tr w14:paraId="042BF2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59F08B63">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洪绍锋</w:t>
            </w:r>
          </w:p>
        </w:tc>
        <w:tc>
          <w:tcPr>
            <w:tcW w:w="778" w:type="pct"/>
            <w:tcBorders>
              <w:top w:val="single" w:color="auto" w:sz="8" w:space="0"/>
              <w:bottom w:val="single" w:color="auto" w:sz="8" w:space="0"/>
            </w:tcBorders>
            <w:noWrap w:val="0"/>
            <w:vAlign w:val="center"/>
          </w:tcPr>
          <w:p w14:paraId="3B17E96D">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高级畜牧师</w:t>
            </w:r>
          </w:p>
        </w:tc>
        <w:tc>
          <w:tcPr>
            <w:tcW w:w="686" w:type="pct"/>
            <w:tcBorders>
              <w:top w:val="single" w:color="auto" w:sz="8" w:space="0"/>
              <w:bottom w:val="single" w:color="auto" w:sz="8" w:space="0"/>
            </w:tcBorders>
            <w:noWrap w:val="0"/>
            <w:vAlign w:val="center"/>
          </w:tcPr>
          <w:p w14:paraId="32587DA2">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27F8CEAE">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广西壮族自治区畜禽品种改良站</w:t>
            </w:r>
          </w:p>
        </w:tc>
        <w:tc>
          <w:tcPr>
            <w:tcW w:w="1667" w:type="pct"/>
            <w:tcBorders>
              <w:top w:val="single" w:color="auto" w:sz="8" w:space="0"/>
              <w:bottom w:val="single" w:color="auto" w:sz="8" w:space="0"/>
            </w:tcBorders>
            <w:noWrap w:val="0"/>
            <w:vAlign w:val="center"/>
          </w:tcPr>
          <w:p w14:paraId="1C64BDBB">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baseline"/>
              <w:rPr>
                <w:rFonts w:hint="eastAsia" w:ascii="仿宋_GB2312" w:hAnsi="仿宋_GB2312" w:eastAsia="仿宋_GB2312" w:cs="仿宋_GB2312"/>
                <w:color w:val="222222"/>
                <w:kern w:val="2"/>
                <w:sz w:val="21"/>
                <w:szCs w:val="21"/>
                <w:lang w:val="en-US" w:eastAsia="zh-CN" w:bidi="ar-SA"/>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据资料收集、标准发布后的宣贯培训，对标准进行详细解读。</w:t>
            </w:r>
          </w:p>
        </w:tc>
      </w:tr>
      <w:tr w14:paraId="2866A3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24750A5E">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黄丽云</w:t>
            </w:r>
          </w:p>
        </w:tc>
        <w:tc>
          <w:tcPr>
            <w:tcW w:w="778" w:type="pct"/>
            <w:tcBorders>
              <w:top w:val="single" w:color="auto" w:sz="8" w:space="0"/>
              <w:bottom w:val="single" w:color="auto" w:sz="8" w:space="0"/>
            </w:tcBorders>
            <w:noWrap w:val="0"/>
            <w:vAlign w:val="center"/>
          </w:tcPr>
          <w:p w14:paraId="456C1097">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兽医师</w:t>
            </w:r>
          </w:p>
        </w:tc>
        <w:tc>
          <w:tcPr>
            <w:tcW w:w="686" w:type="pct"/>
            <w:tcBorders>
              <w:top w:val="single" w:color="auto" w:sz="8" w:space="0"/>
              <w:bottom w:val="single" w:color="auto" w:sz="8" w:space="0"/>
            </w:tcBorders>
            <w:noWrap w:val="0"/>
            <w:vAlign w:val="center"/>
          </w:tcPr>
          <w:p w14:paraId="383A8308">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畜牧兽医</w:t>
            </w:r>
          </w:p>
        </w:tc>
        <w:tc>
          <w:tcPr>
            <w:tcW w:w="1308" w:type="pct"/>
            <w:tcBorders>
              <w:top w:val="single" w:color="auto" w:sz="8" w:space="0"/>
              <w:bottom w:val="single" w:color="auto" w:sz="8" w:space="0"/>
            </w:tcBorders>
            <w:noWrap w:val="0"/>
            <w:vAlign w:val="center"/>
          </w:tcPr>
          <w:p w14:paraId="00AC040B">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广西壮族自治区畜禽品种改良站</w:t>
            </w:r>
          </w:p>
        </w:tc>
        <w:tc>
          <w:tcPr>
            <w:tcW w:w="1667" w:type="pct"/>
            <w:tcBorders>
              <w:top w:val="single" w:color="auto" w:sz="8" w:space="0"/>
              <w:bottom w:val="single" w:color="auto" w:sz="8" w:space="0"/>
            </w:tcBorders>
            <w:noWrap w:val="0"/>
            <w:vAlign w:val="center"/>
          </w:tcPr>
          <w:p w14:paraId="693ED367">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baseline"/>
              <w:rPr>
                <w:rFonts w:hint="eastAsia" w:ascii="仿宋_GB2312" w:hAnsi="仿宋_GB2312" w:eastAsia="仿宋_GB2312" w:cs="仿宋_GB2312"/>
                <w:color w:val="222222"/>
                <w:kern w:val="2"/>
                <w:sz w:val="21"/>
                <w:szCs w:val="21"/>
                <w:lang w:val="en-US" w:eastAsia="zh-CN" w:bidi="ar-SA"/>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据资料收集、标准发布后的宣贯培训，对标准进行详细解读。</w:t>
            </w:r>
          </w:p>
        </w:tc>
      </w:tr>
      <w:tr w14:paraId="4F10AC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7AD4726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color w:val="000000"/>
                <w:sz w:val="21"/>
                <w:szCs w:val="21"/>
                <w:lang w:eastAsia="zh-CN"/>
              </w:rPr>
              <w:t>刘瑞鑫</w:t>
            </w:r>
          </w:p>
        </w:tc>
        <w:tc>
          <w:tcPr>
            <w:tcW w:w="778" w:type="pct"/>
            <w:tcBorders>
              <w:top w:val="single" w:color="auto" w:sz="8" w:space="0"/>
              <w:bottom w:val="single" w:color="auto" w:sz="8" w:space="0"/>
            </w:tcBorders>
            <w:noWrap w:val="0"/>
            <w:vAlign w:val="center"/>
          </w:tcPr>
          <w:p w14:paraId="1588FBA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正高级畜牧师</w:t>
            </w:r>
          </w:p>
        </w:tc>
        <w:tc>
          <w:tcPr>
            <w:tcW w:w="686" w:type="pct"/>
            <w:tcBorders>
              <w:top w:val="single" w:color="auto" w:sz="8" w:space="0"/>
              <w:bottom w:val="single" w:color="auto" w:sz="8" w:space="0"/>
            </w:tcBorders>
            <w:noWrap w:val="0"/>
            <w:vAlign w:val="center"/>
          </w:tcPr>
          <w:p w14:paraId="7A1465F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20CF784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广西壮族自治区畜禽品种改良站</w:t>
            </w:r>
          </w:p>
        </w:tc>
        <w:tc>
          <w:tcPr>
            <w:tcW w:w="1667" w:type="pct"/>
            <w:tcBorders>
              <w:top w:val="single" w:color="auto" w:sz="8" w:space="0"/>
              <w:bottom w:val="single" w:color="auto" w:sz="8" w:space="0"/>
            </w:tcBorders>
            <w:noWrap w:val="0"/>
            <w:vAlign w:val="center"/>
          </w:tcPr>
          <w:p w14:paraId="5B3F2A8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baseline"/>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rPr>
              <w:t>对标准实施情况进行总结分析，不断对团体标准提出修正意见。</w:t>
            </w:r>
          </w:p>
        </w:tc>
      </w:tr>
      <w:tr w14:paraId="1076E5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0248E224">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漆爱荣</w:t>
            </w:r>
          </w:p>
        </w:tc>
        <w:tc>
          <w:tcPr>
            <w:tcW w:w="778" w:type="pct"/>
            <w:tcBorders>
              <w:top w:val="single" w:color="auto" w:sz="8" w:space="0"/>
              <w:bottom w:val="single" w:color="auto" w:sz="8" w:space="0"/>
            </w:tcBorders>
            <w:noWrap w:val="0"/>
            <w:vAlign w:val="center"/>
          </w:tcPr>
          <w:p w14:paraId="1FAEB456">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高级畜牧师</w:t>
            </w:r>
          </w:p>
        </w:tc>
        <w:tc>
          <w:tcPr>
            <w:tcW w:w="686" w:type="pct"/>
            <w:tcBorders>
              <w:top w:val="single" w:color="auto" w:sz="8" w:space="0"/>
              <w:bottom w:val="single" w:color="auto" w:sz="8" w:space="0"/>
            </w:tcBorders>
            <w:noWrap w:val="0"/>
            <w:vAlign w:val="center"/>
          </w:tcPr>
          <w:p w14:paraId="2A248445">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5D8314C9">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广西壮族自治区畜禽品种改良站</w:t>
            </w:r>
          </w:p>
        </w:tc>
        <w:tc>
          <w:tcPr>
            <w:tcW w:w="1667" w:type="pct"/>
            <w:tcBorders>
              <w:top w:val="single" w:color="auto" w:sz="8" w:space="0"/>
              <w:bottom w:val="single" w:color="auto" w:sz="8" w:space="0"/>
            </w:tcBorders>
            <w:noWrap w:val="0"/>
            <w:vAlign w:val="center"/>
          </w:tcPr>
          <w:p w14:paraId="10014C29">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baseline"/>
              <w:rPr>
                <w:rFonts w:hint="eastAsia" w:ascii="仿宋_GB2312" w:hAnsi="仿宋_GB2312" w:eastAsia="仿宋_GB2312" w:cs="仿宋_GB2312"/>
                <w:color w:val="222222"/>
                <w:kern w:val="2"/>
                <w:sz w:val="21"/>
                <w:szCs w:val="21"/>
                <w:lang w:val="en-US" w:eastAsia="zh-CN" w:bidi="ar-SA"/>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据资料收集、标准发布后的宣贯培训，对标准进行详细解读。</w:t>
            </w:r>
          </w:p>
        </w:tc>
      </w:tr>
      <w:tr w14:paraId="3A01FD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57B9F0DD">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 w:val="21"/>
                <w:szCs w:val="21"/>
                <w:lang w:eastAsia="zh-CN"/>
              </w:rPr>
              <w:t>许</w:t>
            </w:r>
            <w:r>
              <w:rPr>
                <w:rFonts w:hint="eastAsia" w:ascii="仿宋_GB2312" w:hAnsi="仿宋_GB2312" w:cs="仿宋_GB2312"/>
                <w:color w:val="000000"/>
                <w:sz w:val="21"/>
                <w:szCs w:val="21"/>
                <w:lang w:val="en-US" w:eastAsia="zh-CN"/>
              </w:rPr>
              <w:t xml:space="preserve">  </w:t>
            </w:r>
            <w:r>
              <w:rPr>
                <w:rFonts w:hint="eastAsia" w:ascii="仿宋_GB2312" w:hAnsi="仿宋_GB2312" w:eastAsia="仿宋_GB2312" w:cs="仿宋_GB2312"/>
                <w:color w:val="000000"/>
                <w:sz w:val="21"/>
                <w:szCs w:val="21"/>
                <w:lang w:eastAsia="zh-CN"/>
              </w:rPr>
              <w:t>鹏</w:t>
            </w:r>
          </w:p>
        </w:tc>
        <w:tc>
          <w:tcPr>
            <w:tcW w:w="778" w:type="pct"/>
            <w:tcBorders>
              <w:top w:val="single" w:color="auto" w:sz="8" w:space="0"/>
              <w:bottom w:val="single" w:color="auto" w:sz="8" w:space="0"/>
            </w:tcBorders>
            <w:noWrap w:val="0"/>
            <w:vAlign w:val="center"/>
          </w:tcPr>
          <w:p w14:paraId="72DC4FA1">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 w:val="21"/>
                <w:szCs w:val="21"/>
                <w:lang w:eastAsia="zh-CN"/>
              </w:rPr>
              <w:t>畜牧师</w:t>
            </w:r>
          </w:p>
        </w:tc>
        <w:tc>
          <w:tcPr>
            <w:tcW w:w="686" w:type="pct"/>
            <w:tcBorders>
              <w:top w:val="single" w:color="auto" w:sz="8" w:space="0"/>
              <w:bottom w:val="single" w:color="auto" w:sz="8" w:space="0"/>
            </w:tcBorders>
            <w:noWrap w:val="0"/>
            <w:vAlign w:val="center"/>
          </w:tcPr>
          <w:p w14:paraId="2B2C54C0">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2C55FFAD">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广西壮族自治区畜禽品种改良站</w:t>
            </w:r>
          </w:p>
        </w:tc>
        <w:tc>
          <w:tcPr>
            <w:tcW w:w="1667" w:type="pct"/>
            <w:tcBorders>
              <w:top w:val="single" w:color="auto" w:sz="8" w:space="0"/>
              <w:bottom w:val="single" w:color="auto" w:sz="8" w:space="0"/>
            </w:tcBorders>
            <w:noWrap w:val="0"/>
            <w:vAlign w:val="center"/>
          </w:tcPr>
          <w:p w14:paraId="0161EBDD">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baseline"/>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据资料收集、标准发布后的宣贯培训，对标准进行详细解读。</w:t>
            </w:r>
          </w:p>
        </w:tc>
      </w:tr>
      <w:tr w14:paraId="6EEDBB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07CB2AD0">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蒋世强</w:t>
            </w:r>
          </w:p>
        </w:tc>
        <w:tc>
          <w:tcPr>
            <w:tcW w:w="778" w:type="pct"/>
            <w:tcBorders>
              <w:top w:val="single" w:color="auto" w:sz="8" w:space="0"/>
              <w:bottom w:val="single" w:color="auto" w:sz="8" w:space="0"/>
            </w:tcBorders>
            <w:noWrap w:val="0"/>
            <w:vAlign w:val="center"/>
          </w:tcPr>
          <w:p w14:paraId="5D3820EB">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畜牧师</w:t>
            </w:r>
          </w:p>
        </w:tc>
        <w:tc>
          <w:tcPr>
            <w:tcW w:w="686" w:type="pct"/>
            <w:tcBorders>
              <w:top w:val="single" w:color="auto" w:sz="8" w:space="0"/>
              <w:bottom w:val="single" w:color="auto" w:sz="8" w:space="0"/>
            </w:tcBorders>
            <w:noWrap w:val="0"/>
            <w:vAlign w:val="center"/>
          </w:tcPr>
          <w:p w14:paraId="363BE91A">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206C53BC">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广西壮族自治区畜禽品种改良站</w:t>
            </w:r>
          </w:p>
        </w:tc>
        <w:tc>
          <w:tcPr>
            <w:tcW w:w="1667" w:type="pct"/>
            <w:tcBorders>
              <w:top w:val="single" w:color="auto" w:sz="8" w:space="0"/>
              <w:bottom w:val="single" w:color="auto" w:sz="8" w:space="0"/>
            </w:tcBorders>
            <w:noWrap w:val="0"/>
            <w:vAlign w:val="center"/>
          </w:tcPr>
          <w:p w14:paraId="4BBCD3EC">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baseline"/>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rPr>
              <w:t>标准发布后的宣贯培训，对标准进行详细解读。</w:t>
            </w:r>
          </w:p>
        </w:tc>
      </w:tr>
      <w:tr w14:paraId="500413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3B752113">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sz w:val="21"/>
                <w:szCs w:val="21"/>
                <w:lang w:eastAsia="zh-CN"/>
              </w:rPr>
              <w:t>黄雅维</w:t>
            </w:r>
          </w:p>
        </w:tc>
        <w:tc>
          <w:tcPr>
            <w:tcW w:w="778" w:type="pct"/>
            <w:tcBorders>
              <w:top w:val="single" w:color="auto" w:sz="8" w:space="0"/>
              <w:bottom w:val="single" w:color="auto" w:sz="8" w:space="0"/>
            </w:tcBorders>
            <w:noWrap w:val="0"/>
            <w:vAlign w:val="center"/>
          </w:tcPr>
          <w:p w14:paraId="7855825B">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畜牧师</w:t>
            </w:r>
          </w:p>
        </w:tc>
        <w:tc>
          <w:tcPr>
            <w:tcW w:w="686" w:type="pct"/>
            <w:tcBorders>
              <w:top w:val="single" w:color="auto" w:sz="8" w:space="0"/>
              <w:bottom w:val="single" w:color="auto" w:sz="8" w:space="0"/>
            </w:tcBorders>
            <w:noWrap w:val="0"/>
            <w:vAlign w:val="center"/>
          </w:tcPr>
          <w:p w14:paraId="566F5B80">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3D66D619">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广西壮族自治区畜禽品种改良站</w:t>
            </w:r>
          </w:p>
        </w:tc>
        <w:tc>
          <w:tcPr>
            <w:tcW w:w="1667" w:type="pct"/>
            <w:tcBorders>
              <w:top w:val="single" w:color="auto" w:sz="8" w:space="0"/>
              <w:bottom w:val="single" w:color="auto" w:sz="8" w:space="0"/>
            </w:tcBorders>
            <w:noWrap w:val="0"/>
            <w:vAlign w:val="center"/>
          </w:tcPr>
          <w:p w14:paraId="18C5111D">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baseline"/>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据资料收集、标准发布后的宣贯培训，对标准进行详细解读。</w:t>
            </w:r>
          </w:p>
        </w:tc>
      </w:tr>
      <w:tr w14:paraId="20ED58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476126E3">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邹乐勤</w:t>
            </w:r>
          </w:p>
        </w:tc>
        <w:tc>
          <w:tcPr>
            <w:tcW w:w="778" w:type="pct"/>
            <w:tcBorders>
              <w:top w:val="single" w:color="auto" w:sz="8" w:space="0"/>
              <w:bottom w:val="single" w:color="auto" w:sz="8" w:space="0"/>
            </w:tcBorders>
            <w:noWrap w:val="0"/>
            <w:vAlign w:val="center"/>
          </w:tcPr>
          <w:p w14:paraId="19DE3AE3">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畜牧师</w:t>
            </w:r>
          </w:p>
        </w:tc>
        <w:tc>
          <w:tcPr>
            <w:tcW w:w="686" w:type="pct"/>
            <w:tcBorders>
              <w:top w:val="single" w:color="auto" w:sz="8" w:space="0"/>
              <w:bottom w:val="single" w:color="auto" w:sz="8" w:space="0"/>
            </w:tcBorders>
            <w:noWrap w:val="0"/>
            <w:vAlign w:val="center"/>
          </w:tcPr>
          <w:p w14:paraId="5D5C9A3D">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2EE77AF2">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广西壮族自治区畜禽品种改良站</w:t>
            </w:r>
          </w:p>
        </w:tc>
        <w:tc>
          <w:tcPr>
            <w:tcW w:w="1667" w:type="pct"/>
            <w:tcBorders>
              <w:top w:val="single" w:color="auto" w:sz="8" w:space="0"/>
              <w:bottom w:val="single" w:color="auto" w:sz="8" w:space="0"/>
            </w:tcBorders>
            <w:noWrap w:val="0"/>
            <w:vAlign w:val="center"/>
          </w:tcPr>
          <w:p w14:paraId="6712322D">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baseline"/>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rPr>
              <w:t>对标准实施情况进行总结分析，不断对团体标准提出修正意见。</w:t>
            </w:r>
          </w:p>
        </w:tc>
      </w:tr>
      <w:tr w14:paraId="3AE892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7B8734FC">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覃孝杰</w:t>
            </w:r>
          </w:p>
        </w:tc>
        <w:tc>
          <w:tcPr>
            <w:tcW w:w="778" w:type="pct"/>
            <w:tcBorders>
              <w:top w:val="single" w:color="auto" w:sz="8" w:space="0"/>
              <w:bottom w:val="single" w:color="auto" w:sz="8" w:space="0"/>
            </w:tcBorders>
            <w:noWrap w:val="0"/>
            <w:vAlign w:val="center"/>
          </w:tcPr>
          <w:p w14:paraId="25694E73">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兽医师</w:t>
            </w:r>
          </w:p>
        </w:tc>
        <w:tc>
          <w:tcPr>
            <w:tcW w:w="686" w:type="pct"/>
            <w:tcBorders>
              <w:top w:val="single" w:color="auto" w:sz="8" w:space="0"/>
              <w:bottom w:val="single" w:color="auto" w:sz="8" w:space="0"/>
            </w:tcBorders>
            <w:noWrap w:val="0"/>
            <w:vAlign w:val="center"/>
          </w:tcPr>
          <w:p w14:paraId="52C8BAE0">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03B64213">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广西壮族自治区畜禽品种改良站</w:t>
            </w:r>
          </w:p>
        </w:tc>
        <w:tc>
          <w:tcPr>
            <w:tcW w:w="1667" w:type="pct"/>
            <w:tcBorders>
              <w:top w:val="single" w:color="auto" w:sz="8" w:space="0"/>
              <w:bottom w:val="single" w:color="auto" w:sz="8" w:space="0"/>
            </w:tcBorders>
            <w:noWrap w:val="0"/>
            <w:vAlign w:val="center"/>
          </w:tcPr>
          <w:p w14:paraId="13ABFE8C">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baseline"/>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据资料收集、标准发布后的宣贯培训，对标准进行详细解读。</w:t>
            </w:r>
          </w:p>
        </w:tc>
      </w:tr>
      <w:tr w14:paraId="4B059C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3DDA2E9E">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李敏玲</w:t>
            </w:r>
          </w:p>
        </w:tc>
        <w:tc>
          <w:tcPr>
            <w:tcW w:w="778" w:type="pct"/>
            <w:tcBorders>
              <w:top w:val="single" w:color="auto" w:sz="8" w:space="0"/>
              <w:bottom w:val="single" w:color="auto" w:sz="8" w:space="0"/>
            </w:tcBorders>
            <w:noWrap w:val="0"/>
            <w:vAlign w:val="center"/>
          </w:tcPr>
          <w:p w14:paraId="3B8712B2">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高级畜牧师</w:t>
            </w:r>
          </w:p>
        </w:tc>
        <w:tc>
          <w:tcPr>
            <w:tcW w:w="686" w:type="pct"/>
            <w:tcBorders>
              <w:top w:val="single" w:color="auto" w:sz="8" w:space="0"/>
              <w:bottom w:val="single" w:color="auto" w:sz="8" w:space="0"/>
            </w:tcBorders>
            <w:noWrap w:val="0"/>
            <w:vAlign w:val="center"/>
          </w:tcPr>
          <w:p w14:paraId="15CDB6EF">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4BC64003">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广西壮族自治区畜禽品种改良站</w:t>
            </w:r>
          </w:p>
        </w:tc>
        <w:tc>
          <w:tcPr>
            <w:tcW w:w="1667" w:type="pct"/>
            <w:tcBorders>
              <w:top w:val="single" w:color="auto" w:sz="8" w:space="0"/>
              <w:bottom w:val="single" w:color="auto" w:sz="8" w:space="0"/>
            </w:tcBorders>
            <w:noWrap w:val="0"/>
            <w:vAlign w:val="center"/>
          </w:tcPr>
          <w:p w14:paraId="5E7FD313">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baseline"/>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据资料收集、标准发布后的宣贯培训，对标准进行详细解读。</w:t>
            </w:r>
          </w:p>
        </w:tc>
      </w:tr>
      <w:tr w14:paraId="3C717B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10FBAD57">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刘秋园</w:t>
            </w:r>
          </w:p>
        </w:tc>
        <w:tc>
          <w:tcPr>
            <w:tcW w:w="778" w:type="pct"/>
            <w:tcBorders>
              <w:top w:val="single" w:color="auto" w:sz="8" w:space="0"/>
              <w:bottom w:val="single" w:color="auto" w:sz="8" w:space="0"/>
            </w:tcBorders>
            <w:noWrap w:val="0"/>
            <w:vAlign w:val="center"/>
          </w:tcPr>
          <w:p w14:paraId="26ACE93C">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助理畜牧师</w:t>
            </w:r>
          </w:p>
        </w:tc>
        <w:tc>
          <w:tcPr>
            <w:tcW w:w="686" w:type="pct"/>
            <w:tcBorders>
              <w:top w:val="single" w:color="auto" w:sz="8" w:space="0"/>
              <w:bottom w:val="single" w:color="auto" w:sz="8" w:space="0"/>
            </w:tcBorders>
            <w:noWrap w:val="0"/>
            <w:vAlign w:val="center"/>
          </w:tcPr>
          <w:p w14:paraId="06D5562E">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7563ACEA">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广西壮族自治区畜禽品种改良站</w:t>
            </w:r>
          </w:p>
        </w:tc>
        <w:tc>
          <w:tcPr>
            <w:tcW w:w="1667" w:type="pct"/>
            <w:tcBorders>
              <w:top w:val="single" w:color="auto" w:sz="8" w:space="0"/>
              <w:bottom w:val="single" w:color="auto" w:sz="8" w:space="0"/>
            </w:tcBorders>
            <w:noWrap w:val="0"/>
            <w:vAlign w:val="center"/>
          </w:tcPr>
          <w:p w14:paraId="257233AA">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lang w:eastAsia="zh-CN"/>
              </w:rPr>
              <w:t>据资料收集、标准发布后的宣贯培训，对标准进行详细解读。</w:t>
            </w:r>
          </w:p>
        </w:tc>
      </w:tr>
      <w:tr w14:paraId="75E65F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53863AF9">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梁志敏</w:t>
            </w:r>
          </w:p>
        </w:tc>
        <w:tc>
          <w:tcPr>
            <w:tcW w:w="778" w:type="pct"/>
            <w:tcBorders>
              <w:top w:val="single" w:color="auto" w:sz="8" w:space="0"/>
              <w:bottom w:val="single" w:color="auto" w:sz="8" w:space="0"/>
            </w:tcBorders>
            <w:noWrap w:val="0"/>
            <w:vAlign w:val="center"/>
          </w:tcPr>
          <w:p w14:paraId="7E818A33">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高级畜牧师</w:t>
            </w:r>
          </w:p>
        </w:tc>
        <w:tc>
          <w:tcPr>
            <w:tcW w:w="686" w:type="pct"/>
            <w:tcBorders>
              <w:top w:val="single" w:color="auto" w:sz="8" w:space="0"/>
              <w:bottom w:val="single" w:color="auto" w:sz="8" w:space="0"/>
            </w:tcBorders>
            <w:noWrap w:val="0"/>
            <w:vAlign w:val="center"/>
          </w:tcPr>
          <w:p w14:paraId="72F44A22">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257B725A">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广西壮族自治区畜禽品种改良站</w:t>
            </w:r>
          </w:p>
        </w:tc>
        <w:tc>
          <w:tcPr>
            <w:tcW w:w="1667" w:type="pct"/>
            <w:tcBorders>
              <w:top w:val="single" w:color="auto" w:sz="8" w:space="0"/>
              <w:bottom w:val="single" w:color="auto" w:sz="8" w:space="0"/>
            </w:tcBorders>
            <w:noWrap w:val="0"/>
            <w:vAlign w:val="center"/>
          </w:tcPr>
          <w:p w14:paraId="55397587">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lang w:eastAsia="zh-CN"/>
              </w:rPr>
              <w:t>据资料收集、标准发布后的宣贯培训，对标准进行详细解读。</w:t>
            </w:r>
          </w:p>
        </w:tc>
      </w:tr>
      <w:tr w14:paraId="744A8E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26" w:type="dxa"/>
            <w:tcBorders>
              <w:top w:val="single" w:color="auto" w:sz="8" w:space="0"/>
              <w:bottom w:val="single" w:color="auto" w:sz="8" w:space="0"/>
            </w:tcBorders>
            <w:noWrap w:val="0"/>
            <w:vAlign w:val="center"/>
          </w:tcPr>
          <w:p w14:paraId="24EFB2C0">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李牮伸</w:t>
            </w:r>
          </w:p>
        </w:tc>
        <w:tc>
          <w:tcPr>
            <w:tcW w:w="1428" w:type="dxa"/>
            <w:tcBorders>
              <w:top w:val="single" w:color="auto" w:sz="8" w:space="0"/>
              <w:bottom w:val="single" w:color="auto" w:sz="8" w:space="0"/>
            </w:tcBorders>
            <w:noWrap w:val="0"/>
            <w:vAlign w:val="center"/>
          </w:tcPr>
          <w:p w14:paraId="6FE6E5B5">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助理畜牧师</w:t>
            </w:r>
          </w:p>
        </w:tc>
        <w:tc>
          <w:tcPr>
            <w:tcW w:w="1259" w:type="dxa"/>
            <w:tcBorders>
              <w:top w:val="single" w:color="auto" w:sz="8" w:space="0"/>
              <w:bottom w:val="single" w:color="auto" w:sz="8" w:space="0"/>
            </w:tcBorders>
            <w:noWrap w:val="0"/>
            <w:vAlign w:val="center"/>
          </w:tcPr>
          <w:p w14:paraId="6E268E70">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畜牧</w:t>
            </w:r>
          </w:p>
        </w:tc>
        <w:tc>
          <w:tcPr>
            <w:tcW w:w="2401" w:type="dxa"/>
            <w:tcBorders>
              <w:top w:val="single" w:color="auto" w:sz="8" w:space="0"/>
              <w:bottom w:val="single" w:color="auto" w:sz="8" w:space="0"/>
            </w:tcBorders>
            <w:noWrap w:val="0"/>
            <w:vAlign w:val="center"/>
          </w:tcPr>
          <w:p w14:paraId="55E9ED1D">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广西壮族自治区畜禽品种改良站</w:t>
            </w:r>
          </w:p>
        </w:tc>
        <w:tc>
          <w:tcPr>
            <w:tcW w:w="3060" w:type="dxa"/>
            <w:tcBorders>
              <w:top w:val="single" w:color="auto" w:sz="8" w:space="0"/>
              <w:bottom w:val="single" w:color="auto" w:sz="8" w:space="0"/>
            </w:tcBorders>
            <w:noWrap w:val="0"/>
            <w:vAlign w:val="top"/>
          </w:tcPr>
          <w:p w14:paraId="33A2C771">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对标准实施情况进行总结分析，不断对团体标准提出修正意见。</w:t>
            </w:r>
          </w:p>
        </w:tc>
      </w:tr>
      <w:tr w14:paraId="3E1758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193CC991">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right="0" w:rightChars="0" w:firstLine="0" w:firstLineChars="0"/>
              <w:jc w:val="center"/>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唐荣福</w:t>
            </w:r>
          </w:p>
        </w:tc>
        <w:tc>
          <w:tcPr>
            <w:tcW w:w="778" w:type="pct"/>
            <w:tcBorders>
              <w:top w:val="single" w:color="auto" w:sz="8" w:space="0"/>
              <w:bottom w:val="single" w:color="auto" w:sz="8" w:space="0"/>
            </w:tcBorders>
            <w:noWrap w:val="0"/>
            <w:vAlign w:val="center"/>
          </w:tcPr>
          <w:p w14:paraId="7BA18625">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sz w:val="21"/>
                <w:szCs w:val="21"/>
                <w:lang w:val="en-US" w:eastAsia="zh-CN"/>
              </w:rPr>
              <w:t>正</w:t>
            </w:r>
            <w:r>
              <w:rPr>
                <w:rFonts w:hint="eastAsia" w:ascii="仿宋_GB2312" w:hAnsi="仿宋_GB2312" w:eastAsia="仿宋_GB2312" w:cs="仿宋_GB2312"/>
                <w:sz w:val="21"/>
                <w:szCs w:val="21"/>
                <w:lang w:eastAsia="zh-CN"/>
              </w:rPr>
              <w:t>高级畜牧师</w:t>
            </w:r>
          </w:p>
        </w:tc>
        <w:tc>
          <w:tcPr>
            <w:tcW w:w="686" w:type="pct"/>
            <w:tcBorders>
              <w:top w:val="single" w:color="auto" w:sz="8" w:space="0"/>
              <w:bottom w:val="single" w:color="auto" w:sz="8" w:space="0"/>
            </w:tcBorders>
            <w:noWrap w:val="0"/>
            <w:vAlign w:val="center"/>
          </w:tcPr>
          <w:p w14:paraId="4C8231A5">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225D294B">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广西壮族自治区畜禽品种改良站</w:t>
            </w:r>
          </w:p>
        </w:tc>
        <w:tc>
          <w:tcPr>
            <w:tcW w:w="1667" w:type="pct"/>
            <w:tcBorders>
              <w:top w:val="single" w:color="auto" w:sz="8" w:space="0"/>
              <w:bottom w:val="single" w:color="auto" w:sz="8" w:space="0"/>
            </w:tcBorders>
            <w:noWrap w:val="0"/>
            <w:vAlign w:val="center"/>
          </w:tcPr>
          <w:p w14:paraId="697012C9">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baseline"/>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据收集、标准发布后的宣贯培训，</w:t>
            </w:r>
            <w:r>
              <w:rPr>
                <w:rFonts w:hint="eastAsia" w:ascii="仿宋_GB2312" w:hAnsi="仿宋_GB2312" w:eastAsia="仿宋_GB2312" w:cs="仿宋_GB2312"/>
                <w:sz w:val="21"/>
                <w:szCs w:val="21"/>
                <w:lang w:val="en-US" w:eastAsia="zh-CN"/>
              </w:rPr>
              <w:t>对团体标准提出修正意见。</w:t>
            </w:r>
          </w:p>
        </w:tc>
      </w:tr>
      <w:tr w14:paraId="3004D2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7B33AD23">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right="0" w:rightChars="0" w:firstLine="0" w:firstLineChars="0"/>
              <w:jc w:val="center"/>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color w:val="000000"/>
                <w:sz w:val="21"/>
                <w:szCs w:val="21"/>
                <w:lang w:eastAsia="zh-CN"/>
              </w:rPr>
              <w:t>陆  滢</w:t>
            </w:r>
          </w:p>
        </w:tc>
        <w:tc>
          <w:tcPr>
            <w:tcW w:w="778" w:type="pct"/>
            <w:tcBorders>
              <w:top w:val="single" w:color="auto" w:sz="8" w:space="0"/>
              <w:bottom w:val="single" w:color="auto" w:sz="8" w:space="0"/>
            </w:tcBorders>
            <w:noWrap w:val="0"/>
            <w:vAlign w:val="center"/>
          </w:tcPr>
          <w:p w14:paraId="75FCEBEA">
            <w:pPr>
              <w:keepNext w:val="0"/>
              <w:keepLines w:val="0"/>
              <w:pageBreakBefore w:val="0"/>
              <w:widowControl/>
              <w:suppressLineNumbers w:val="0"/>
              <w:kinsoku/>
              <w:wordWrap/>
              <w:overflowPunct/>
              <w:topLinePunct w:val="0"/>
              <w:autoSpaceDE/>
              <w:autoSpaceDN/>
              <w:bidi w:val="0"/>
              <w:adjustRightInd/>
              <w:snapToGrid/>
              <w:spacing w:line="240" w:lineRule="auto"/>
              <w:ind w:left="0" w:firstLine="0" w:firstLineChars="0"/>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i w:val="0"/>
                <w:iCs w:val="0"/>
                <w:color w:val="000000"/>
                <w:kern w:val="0"/>
                <w:sz w:val="21"/>
                <w:szCs w:val="21"/>
                <w:u w:val="none"/>
                <w:lang w:val="en-US" w:eastAsia="zh-CN" w:bidi="ar"/>
              </w:rPr>
              <w:t>副总经理/畜牧师</w:t>
            </w:r>
          </w:p>
        </w:tc>
        <w:tc>
          <w:tcPr>
            <w:tcW w:w="686" w:type="pct"/>
            <w:tcBorders>
              <w:top w:val="single" w:color="auto" w:sz="8" w:space="0"/>
              <w:bottom w:val="single" w:color="auto" w:sz="8" w:space="0"/>
            </w:tcBorders>
            <w:noWrap w:val="0"/>
            <w:vAlign w:val="center"/>
          </w:tcPr>
          <w:p w14:paraId="47615E40">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1A5E9BFB">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广西农垦永新畜牧集团有限公司良圻原种猪场</w:t>
            </w:r>
          </w:p>
        </w:tc>
        <w:tc>
          <w:tcPr>
            <w:tcW w:w="1667" w:type="pct"/>
            <w:tcBorders>
              <w:top w:val="single" w:color="auto" w:sz="8" w:space="0"/>
              <w:bottom w:val="single" w:color="auto" w:sz="8" w:space="0"/>
            </w:tcBorders>
            <w:noWrap w:val="0"/>
            <w:vAlign w:val="center"/>
          </w:tcPr>
          <w:p w14:paraId="7E2513D4">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right="0" w:rightChars="0" w:firstLine="0" w:firstLineChars="0"/>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据资料收集、标准发布后的宣贯培训，对标准进行详细解读。</w:t>
            </w:r>
          </w:p>
        </w:tc>
      </w:tr>
      <w:tr w14:paraId="2DA4F8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50350B64">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right="0" w:rightChars="0"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color w:val="000000"/>
                <w:sz w:val="21"/>
                <w:szCs w:val="21"/>
                <w:lang w:eastAsia="zh-CN"/>
              </w:rPr>
              <w:t>曹玉美</w:t>
            </w:r>
          </w:p>
        </w:tc>
        <w:tc>
          <w:tcPr>
            <w:tcW w:w="778" w:type="pct"/>
            <w:tcBorders>
              <w:top w:val="single" w:color="auto" w:sz="8" w:space="0"/>
              <w:bottom w:val="single" w:color="auto" w:sz="8" w:space="0"/>
            </w:tcBorders>
            <w:noWrap w:val="0"/>
            <w:vAlign w:val="center"/>
          </w:tcPr>
          <w:p w14:paraId="00CFEAFD">
            <w:pPr>
              <w:keepNext w:val="0"/>
              <w:keepLines w:val="0"/>
              <w:pageBreakBefore w:val="0"/>
              <w:widowControl/>
              <w:suppressLineNumbers w:val="0"/>
              <w:kinsoku/>
              <w:wordWrap/>
              <w:overflowPunct/>
              <w:topLinePunct w:val="0"/>
              <w:autoSpaceDE/>
              <w:autoSpaceDN/>
              <w:bidi w:val="0"/>
              <w:adjustRightInd/>
              <w:snapToGrid/>
              <w:spacing w:line="240" w:lineRule="auto"/>
              <w:ind w:left="0" w:firstLine="0" w:firstLineChars="0"/>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i w:val="0"/>
                <w:iCs w:val="0"/>
                <w:color w:val="000000"/>
                <w:kern w:val="0"/>
                <w:sz w:val="21"/>
                <w:szCs w:val="21"/>
                <w:u w:val="none"/>
                <w:lang w:val="en-US" w:eastAsia="zh-CN" w:bidi="ar"/>
              </w:rPr>
              <w:t>总经理助理/高级畜牧师</w:t>
            </w:r>
          </w:p>
        </w:tc>
        <w:tc>
          <w:tcPr>
            <w:tcW w:w="686" w:type="pct"/>
            <w:tcBorders>
              <w:top w:val="single" w:color="auto" w:sz="8" w:space="0"/>
              <w:bottom w:val="single" w:color="auto" w:sz="8" w:space="0"/>
            </w:tcBorders>
            <w:noWrap w:val="0"/>
            <w:vAlign w:val="center"/>
          </w:tcPr>
          <w:p w14:paraId="79392C51">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7ADD5DE5">
            <w:pPr>
              <w:keepNext w:val="0"/>
              <w:keepLines w:val="0"/>
              <w:pageBreakBefore w:val="0"/>
              <w:widowControl/>
              <w:suppressLineNumbers w:val="0"/>
              <w:kinsoku/>
              <w:wordWrap/>
              <w:overflowPunct/>
              <w:topLinePunct w:val="0"/>
              <w:autoSpaceDE/>
              <w:autoSpaceDN/>
              <w:bidi w:val="0"/>
              <w:adjustRightInd/>
              <w:snapToGrid/>
              <w:spacing w:line="240" w:lineRule="auto"/>
              <w:ind w:left="0" w:firstLine="0" w:firstLineChars="0"/>
              <w:jc w:val="center"/>
              <w:textAlignment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i w:val="0"/>
                <w:iCs w:val="0"/>
                <w:color w:val="000000"/>
                <w:kern w:val="0"/>
                <w:sz w:val="21"/>
                <w:szCs w:val="21"/>
                <w:u w:val="none"/>
                <w:lang w:val="en-US" w:eastAsia="zh-CN" w:bidi="ar"/>
              </w:rPr>
              <w:t>广西农垦永新畜牧集团有限公司良圻原种猪场</w:t>
            </w:r>
          </w:p>
        </w:tc>
        <w:tc>
          <w:tcPr>
            <w:tcW w:w="1667" w:type="pct"/>
            <w:tcBorders>
              <w:top w:val="single" w:color="auto" w:sz="8" w:space="0"/>
              <w:bottom w:val="single" w:color="auto" w:sz="8" w:space="0"/>
            </w:tcBorders>
            <w:noWrap w:val="0"/>
            <w:vAlign w:val="center"/>
          </w:tcPr>
          <w:p w14:paraId="020D2045">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right="0" w:rightChars="0" w:firstLine="0" w:firstLineChars="0"/>
              <w:jc w:val="both"/>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据资料收集、标准发布后的宣贯培训，对标准进行详细解读。</w:t>
            </w:r>
          </w:p>
        </w:tc>
      </w:tr>
      <w:tr w14:paraId="4B7BFA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4F339856">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right="0" w:rightChars="0" w:firstLine="0" w:firstLineChars="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i w:val="0"/>
                <w:iCs w:val="0"/>
                <w:color w:val="000000"/>
                <w:kern w:val="0"/>
                <w:sz w:val="21"/>
                <w:szCs w:val="21"/>
                <w:u w:val="none"/>
                <w:lang w:val="en-US" w:eastAsia="zh-CN" w:bidi="ar"/>
              </w:rPr>
              <w:t>邱子龙</w:t>
            </w:r>
          </w:p>
        </w:tc>
        <w:tc>
          <w:tcPr>
            <w:tcW w:w="778" w:type="pct"/>
            <w:tcBorders>
              <w:top w:val="single" w:color="auto" w:sz="8" w:space="0"/>
              <w:bottom w:val="single" w:color="auto" w:sz="8" w:space="0"/>
            </w:tcBorders>
            <w:noWrap w:val="0"/>
            <w:vAlign w:val="center"/>
          </w:tcPr>
          <w:p w14:paraId="2FD188BF">
            <w:pPr>
              <w:keepNext w:val="0"/>
              <w:keepLines w:val="0"/>
              <w:pageBreakBefore w:val="0"/>
              <w:widowControl/>
              <w:suppressLineNumbers w:val="0"/>
              <w:kinsoku/>
              <w:wordWrap/>
              <w:overflowPunct/>
              <w:topLinePunct w:val="0"/>
              <w:autoSpaceDE/>
              <w:autoSpaceDN/>
              <w:bidi w:val="0"/>
              <w:adjustRightInd/>
              <w:snapToGrid/>
              <w:spacing w:line="240" w:lineRule="auto"/>
              <w:ind w:left="0" w:firstLine="0" w:firstLineChars="0"/>
              <w:jc w:val="center"/>
              <w:textAlignment w:val="center"/>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种猪部副部长/助理兽医师</w:t>
            </w:r>
          </w:p>
        </w:tc>
        <w:tc>
          <w:tcPr>
            <w:tcW w:w="686" w:type="pct"/>
            <w:tcBorders>
              <w:top w:val="single" w:color="auto" w:sz="8" w:space="0"/>
              <w:bottom w:val="single" w:color="auto" w:sz="8" w:space="0"/>
            </w:tcBorders>
            <w:noWrap w:val="0"/>
            <w:vAlign w:val="center"/>
          </w:tcPr>
          <w:p w14:paraId="32F26838">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51ED75A3">
            <w:pPr>
              <w:keepNext w:val="0"/>
              <w:keepLines w:val="0"/>
              <w:pageBreakBefore w:val="0"/>
              <w:widowControl/>
              <w:suppressLineNumbers w:val="0"/>
              <w:kinsoku/>
              <w:wordWrap/>
              <w:overflowPunct/>
              <w:topLinePunct w:val="0"/>
              <w:autoSpaceDE/>
              <w:autoSpaceDN/>
              <w:bidi w:val="0"/>
              <w:adjustRightInd/>
              <w:snapToGrid/>
              <w:spacing w:line="240" w:lineRule="auto"/>
              <w:ind w:left="0" w:firstLine="0" w:firstLineChars="0"/>
              <w:jc w:val="center"/>
              <w:textAlignment w:val="center"/>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广西农垦永新畜牧集团有限公司良圻原种猪场</w:t>
            </w:r>
          </w:p>
        </w:tc>
        <w:tc>
          <w:tcPr>
            <w:tcW w:w="1667" w:type="pct"/>
            <w:tcBorders>
              <w:top w:val="single" w:color="auto" w:sz="8" w:space="0"/>
              <w:bottom w:val="single" w:color="auto" w:sz="8" w:space="0"/>
            </w:tcBorders>
            <w:noWrap w:val="0"/>
            <w:vAlign w:val="center"/>
          </w:tcPr>
          <w:p w14:paraId="483E0348">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baseline"/>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据资料收集、标准发布后的宣贯培训，对标准进行详细解读。</w:t>
            </w:r>
          </w:p>
        </w:tc>
      </w:tr>
      <w:tr w14:paraId="393DFF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43ED76D6">
            <w:pPr>
              <w:keepNext w:val="0"/>
              <w:keepLines w:val="0"/>
              <w:pageBreakBefore w:val="0"/>
              <w:widowControl/>
              <w:suppressLineNumbers w:val="0"/>
              <w:kinsoku/>
              <w:wordWrap/>
              <w:overflowPunct/>
              <w:topLinePunct w:val="0"/>
              <w:autoSpaceDE/>
              <w:autoSpaceDN/>
              <w:bidi w:val="0"/>
              <w:adjustRightInd/>
              <w:snapToGrid/>
              <w:spacing w:line="240" w:lineRule="auto"/>
              <w:ind w:left="0" w:firstLine="0" w:firstLineChars="0"/>
              <w:jc w:val="center"/>
              <w:textAlignment w:val="center"/>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周  隽</w:t>
            </w:r>
          </w:p>
        </w:tc>
        <w:tc>
          <w:tcPr>
            <w:tcW w:w="778" w:type="pct"/>
            <w:tcBorders>
              <w:top w:val="single" w:color="auto" w:sz="8" w:space="0"/>
              <w:bottom w:val="single" w:color="auto" w:sz="8" w:space="0"/>
            </w:tcBorders>
            <w:noWrap w:val="0"/>
            <w:vAlign w:val="center"/>
          </w:tcPr>
          <w:p w14:paraId="3E1BDFE4">
            <w:pPr>
              <w:keepNext w:val="0"/>
              <w:keepLines w:val="0"/>
              <w:pageBreakBefore w:val="0"/>
              <w:widowControl/>
              <w:suppressLineNumbers w:val="0"/>
              <w:kinsoku/>
              <w:wordWrap/>
              <w:overflowPunct/>
              <w:topLinePunct w:val="0"/>
              <w:autoSpaceDE/>
              <w:autoSpaceDN/>
              <w:bidi w:val="0"/>
              <w:adjustRightInd/>
              <w:snapToGrid/>
              <w:spacing w:line="240" w:lineRule="auto"/>
              <w:ind w:left="0" w:firstLine="0" w:firstLineChars="0"/>
              <w:jc w:val="center"/>
              <w:textAlignment w:val="center"/>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种猪部副部长/助理畜牧师</w:t>
            </w:r>
          </w:p>
        </w:tc>
        <w:tc>
          <w:tcPr>
            <w:tcW w:w="686" w:type="pct"/>
            <w:tcBorders>
              <w:top w:val="single" w:color="auto" w:sz="8" w:space="0"/>
              <w:bottom w:val="single" w:color="auto" w:sz="8" w:space="0"/>
            </w:tcBorders>
            <w:noWrap w:val="0"/>
            <w:vAlign w:val="center"/>
          </w:tcPr>
          <w:p w14:paraId="12A76EB9">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26E5DB9E">
            <w:pPr>
              <w:keepNext w:val="0"/>
              <w:keepLines w:val="0"/>
              <w:pageBreakBefore w:val="0"/>
              <w:widowControl/>
              <w:suppressLineNumbers w:val="0"/>
              <w:kinsoku/>
              <w:wordWrap/>
              <w:overflowPunct/>
              <w:topLinePunct w:val="0"/>
              <w:autoSpaceDE/>
              <w:autoSpaceDN/>
              <w:bidi w:val="0"/>
              <w:adjustRightInd/>
              <w:snapToGrid/>
              <w:spacing w:line="240" w:lineRule="auto"/>
              <w:ind w:left="0" w:firstLine="0" w:firstLineChars="0"/>
              <w:jc w:val="center"/>
              <w:textAlignment w:val="center"/>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广西农垦永新畜牧集团有限公司良圻原种猪场</w:t>
            </w:r>
          </w:p>
        </w:tc>
        <w:tc>
          <w:tcPr>
            <w:tcW w:w="1667" w:type="pct"/>
            <w:tcBorders>
              <w:top w:val="single" w:color="auto" w:sz="8" w:space="0"/>
              <w:bottom w:val="single" w:color="auto" w:sz="8" w:space="0"/>
            </w:tcBorders>
            <w:noWrap w:val="0"/>
            <w:vAlign w:val="center"/>
          </w:tcPr>
          <w:p w14:paraId="6B27C3FA">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baseline"/>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据资料收集、标准发布后的宣贯培训，对标准进行详细解读。</w:t>
            </w:r>
          </w:p>
        </w:tc>
      </w:tr>
      <w:tr w14:paraId="5BF2D0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4350BCDB">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right="0" w:rightChars="0" w:firstLine="0" w:firstLineChars="0"/>
              <w:jc w:val="center"/>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sz w:val="21"/>
                <w:szCs w:val="21"/>
                <w:lang w:val="en-US" w:eastAsia="zh-CN"/>
              </w:rPr>
              <w:t>林宝江</w:t>
            </w:r>
          </w:p>
        </w:tc>
        <w:tc>
          <w:tcPr>
            <w:tcW w:w="778" w:type="pct"/>
            <w:tcBorders>
              <w:top w:val="single" w:color="auto" w:sz="8" w:space="0"/>
              <w:bottom w:val="single" w:color="auto" w:sz="8" w:space="0"/>
            </w:tcBorders>
            <w:noWrap w:val="0"/>
            <w:vAlign w:val="center"/>
          </w:tcPr>
          <w:p w14:paraId="7BC8EC23">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高级畜牧师</w:t>
            </w:r>
          </w:p>
        </w:tc>
        <w:tc>
          <w:tcPr>
            <w:tcW w:w="686" w:type="pct"/>
            <w:tcBorders>
              <w:top w:val="single" w:color="auto" w:sz="8" w:space="0"/>
              <w:bottom w:val="single" w:color="auto" w:sz="8" w:space="0"/>
            </w:tcBorders>
            <w:noWrap w:val="0"/>
            <w:vAlign w:val="center"/>
          </w:tcPr>
          <w:p w14:paraId="6DC809DC">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1D085B1B">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广西农垦永新畜牧集团西江有限公司</w:t>
            </w:r>
          </w:p>
        </w:tc>
        <w:tc>
          <w:tcPr>
            <w:tcW w:w="1667" w:type="pct"/>
            <w:tcBorders>
              <w:top w:val="single" w:color="auto" w:sz="8" w:space="0"/>
              <w:bottom w:val="single" w:color="auto" w:sz="8" w:space="0"/>
            </w:tcBorders>
            <w:noWrap w:val="0"/>
            <w:vAlign w:val="center"/>
          </w:tcPr>
          <w:p w14:paraId="034A203A">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baseline"/>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据资料收集、标准发布后的宣贯培训，对标准进行详细解读。</w:t>
            </w:r>
          </w:p>
        </w:tc>
      </w:tr>
      <w:tr w14:paraId="7EC11E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58AE8BF2">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right="0" w:rightChars="0" w:firstLine="0" w:firstLineChars="0"/>
              <w:jc w:val="center"/>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sz w:val="21"/>
                <w:szCs w:val="21"/>
                <w:lang w:val="en-US" w:eastAsia="zh-CN"/>
              </w:rPr>
              <w:t>李林东</w:t>
            </w:r>
          </w:p>
        </w:tc>
        <w:tc>
          <w:tcPr>
            <w:tcW w:w="778" w:type="pct"/>
            <w:tcBorders>
              <w:top w:val="single" w:color="auto" w:sz="8" w:space="0"/>
              <w:bottom w:val="single" w:color="auto" w:sz="8" w:space="0"/>
            </w:tcBorders>
            <w:noWrap w:val="0"/>
            <w:vAlign w:val="center"/>
          </w:tcPr>
          <w:p w14:paraId="11946C6F">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兽医师</w:t>
            </w:r>
          </w:p>
        </w:tc>
        <w:tc>
          <w:tcPr>
            <w:tcW w:w="686" w:type="pct"/>
            <w:tcBorders>
              <w:top w:val="single" w:color="auto" w:sz="8" w:space="0"/>
              <w:bottom w:val="single" w:color="auto" w:sz="8" w:space="0"/>
            </w:tcBorders>
            <w:noWrap w:val="0"/>
            <w:vAlign w:val="center"/>
          </w:tcPr>
          <w:p w14:paraId="7B14D26C">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623EE008">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广西农垦永新畜牧集团西江有限公司</w:t>
            </w:r>
          </w:p>
        </w:tc>
        <w:tc>
          <w:tcPr>
            <w:tcW w:w="1667" w:type="pct"/>
            <w:tcBorders>
              <w:top w:val="single" w:color="auto" w:sz="8" w:space="0"/>
              <w:bottom w:val="single" w:color="auto" w:sz="8" w:space="0"/>
            </w:tcBorders>
            <w:noWrap w:val="0"/>
            <w:vAlign w:val="center"/>
          </w:tcPr>
          <w:p w14:paraId="36BC16F3">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baseline"/>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据资料收集、标准发布后的宣贯培训，对标准进行详细解读。</w:t>
            </w:r>
          </w:p>
        </w:tc>
      </w:tr>
      <w:tr w14:paraId="2E5937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31A694D8">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right="0" w:rightChars="0" w:firstLine="0" w:firstLineChars="0"/>
              <w:jc w:val="center"/>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sz w:val="21"/>
                <w:szCs w:val="21"/>
                <w:lang w:val="en-US" w:eastAsia="zh-CN"/>
              </w:rPr>
              <w:t>张扬祖</w:t>
            </w:r>
          </w:p>
        </w:tc>
        <w:tc>
          <w:tcPr>
            <w:tcW w:w="778" w:type="pct"/>
            <w:tcBorders>
              <w:top w:val="single" w:color="auto" w:sz="8" w:space="0"/>
              <w:bottom w:val="single" w:color="auto" w:sz="8" w:space="0"/>
            </w:tcBorders>
            <w:noWrap w:val="0"/>
            <w:vAlign w:val="center"/>
          </w:tcPr>
          <w:p w14:paraId="503DE877">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助理兽医师</w:t>
            </w:r>
          </w:p>
        </w:tc>
        <w:tc>
          <w:tcPr>
            <w:tcW w:w="686" w:type="pct"/>
            <w:tcBorders>
              <w:top w:val="single" w:color="auto" w:sz="8" w:space="0"/>
              <w:bottom w:val="single" w:color="auto" w:sz="8" w:space="0"/>
            </w:tcBorders>
            <w:noWrap w:val="0"/>
            <w:vAlign w:val="center"/>
          </w:tcPr>
          <w:p w14:paraId="52430E67">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185134C1">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广西农垦永新畜牧集团西江有限公司</w:t>
            </w:r>
          </w:p>
        </w:tc>
        <w:tc>
          <w:tcPr>
            <w:tcW w:w="1667" w:type="pct"/>
            <w:tcBorders>
              <w:top w:val="single" w:color="auto" w:sz="8" w:space="0"/>
              <w:bottom w:val="single" w:color="auto" w:sz="8" w:space="0"/>
            </w:tcBorders>
            <w:noWrap w:val="0"/>
            <w:vAlign w:val="center"/>
          </w:tcPr>
          <w:p w14:paraId="71264A01">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baseline"/>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据资料收集、标准发布后的宣贯培训，对标准进行详细解读。</w:t>
            </w:r>
          </w:p>
        </w:tc>
      </w:tr>
      <w:tr w14:paraId="6F187B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27112DEC">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right="0" w:rightChars="0" w:firstLine="0" w:firstLineChars="0"/>
              <w:jc w:val="center"/>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sz w:val="21"/>
                <w:szCs w:val="21"/>
                <w:lang w:val="en-US" w:eastAsia="zh-CN"/>
              </w:rPr>
              <w:t>罗期方</w:t>
            </w:r>
          </w:p>
        </w:tc>
        <w:tc>
          <w:tcPr>
            <w:tcW w:w="778" w:type="pct"/>
            <w:tcBorders>
              <w:top w:val="single" w:color="auto" w:sz="8" w:space="0"/>
              <w:bottom w:val="single" w:color="auto" w:sz="8" w:space="0"/>
            </w:tcBorders>
            <w:noWrap w:val="0"/>
            <w:vAlign w:val="center"/>
          </w:tcPr>
          <w:p w14:paraId="568D9137">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高级兽医师</w:t>
            </w:r>
          </w:p>
        </w:tc>
        <w:tc>
          <w:tcPr>
            <w:tcW w:w="686" w:type="pct"/>
            <w:tcBorders>
              <w:top w:val="single" w:color="auto" w:sz="8" w:space="0"/>
              <w:bottom w:val="single" w:color="auto" w:sz="8" w:space="0"/>
            </w:tcBorders>
            <w:noWrap w:val="0"/>
            <w:vAlign w:val="center"/>
          </w:tcPr>
          <w:p w14:paraId="4B1BF9BD">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60C7EAEF">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广西农垦永新畜牧集团西江有限公司</w:t>
            </w:r>
          </w:p>
        </w:tc>
        <w:tc>
          <w:tcPr>
            <w:tcW w:w="1667" w:type="pct"/>
            <w:tcBorders>
              <w:top w:val="single" w:color="auto" w:sz="8" w:space="0"/>
              <w:bottom w:val="single" w:color="auto" w:sz="8" w:space="0"/>
            </w:tcBorders>
            <w:noWrap w:val="0"/>
            <w:vAlign w:val="center"/>
          </w:tcPr>
          <w:p w14:paraId="2C0DA9C9">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baseline"/>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数</w:t>
            </w:r>
            <w:r>
              <w:rPr>
                <w:rFonts w:hint="eastAsia" w:ascii="仿宋_GB2312" w:hAnsi="仿宋_GB2312" w:eastAsia="仿宋_GB2312" w:cs="仿宋_GB2312"/>
                <w:sz w:val="21"/>
                <w:szCs w:val="21"/>
              </w:rPr>
              <w:t>据资料收集、标准发布后的宣贯培训，对标准进行详细解读。</w:t>
            </w:r>
          </w:p>
        </w:tc>
      </w:tr>
      <w:tr w14:paraId="3EE177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59" w:type="pct"/>
            <w:tcBorders>
              <w:top w:val="single" w:color="auto" w:sz="8" w:space="0"/>
              <w:bottom w:val="single" w:color="auto" w:sz="8" w:space="0"/>
            </w:tcBorders>
            <w:noWrap w:val="0"/>
            <w:vAlign w:val="center"/>
          </w:tcPr>
          <w:p w14:paraId="68F1ECF7">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right="0" w:rightChars="0" w:firstLine="0" w:firstLineChars="0"/>
              <w:jc w:val="center"/>
              <w:rPr>
                <w:rFonts w:hint="eastAsia" w:ascii="仿宋_GB2312" w:hAnsi="仿宋_GB2312" w:eastAsia="仿宋_GB2312" w:cs="仿宋_GB2312"/>
                <w:color w:val="000000"/>
                <w:sz w:val="21"/>
                <w:szCs w:val="21"/>
                <w:lang w:eastAsia="zh-CN"/>
              </w:rPr>
            </w:pPr>
            <w:r>
              <w:rPr>
                <w:rFonts w:hint="eastAsia" w:ascii="仿宋_GB2312" w:hAnsi="仿宋_GB2312" w:eastAsia="仿宋_GB2312" w:cs="仿宋_GB2312"/>
                <w:sz w:val="21"/>
                <w:szCs w:val="21"/>
              </w:rPr>
              <w:t>陈建林</w:t>
            </w:r>
          </w:p>
        </w:tc>
        <w:tc>
          <w:tcPr>
            <w:tcW w:w="778" w:type="pct"/>
            <w:tcBorders>
              <w:top w:val="single" w:color="auto" w:sz="8" w:space="0"/>
              <w:bottom w:val="single" w:color="auto" w:sz="8" w:space="0"/>
            </w:tcBorders>
            <w:noWrap w:val="0"/>
            <w:vAlign w:val="center"/>
          </w:tcPr>
          <w:p w14:paraId="7AFE6DBE">
            <w:pPr>
              <w:keepNext w:val="0"/>
              <w:keepLines w:val="0"/>
              <w:pageBreakBefore w:val="0"/>
              <w:widowControl/>
              <w:suppressLineNumbers w:val="0"/>
              <w:kinsoku/>
              <w:wordWrap/>
              <w:overflowPunct/>
              <w:topLinePunct w:val="0"/>
              <w:autoSpaceDE/>
              <w:autoSpaceDN/>
              <w:bidi w:val="0"/>
              <w:adjustRightInd/>
              <w:snapToGrid/>
              <w:spacing w:line="240" w:lineRule="auto"/>
              <w:ind w:left="0" w:firstLine="0" w:firstLineChars="0"/>
              <w:jc w:val="center"/>
              <w:textAlignment w:val="center"/>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sz w:val="21"/>
                <w:szCs w:val="21"/>
              </w:rPr>
              <w:t>兽医师</w:t>
            </w:r>
          </w:p>
        </w:tc>
        <w:tc>
          <w:tcPr>
            <w:tcW w:w="686" w:type="pct"/>
            <w:tcBorders>
              <w:top w:val="single" w:color="auto" w:sz="8" w:space="0"/>
              <w:bottom w:val="single" w:color="auto" w:sz="8" w:space="0"/>
            </w:tcBorders>
            <w:noWrap w:val="0"/>
            <w:vAlign w:val="center"/>
          </w:tcPr>
          <w:p w14:paraId="724A27D8">
            <w:pPr>
              <w:keepNext w:val="0"/>
              <w:keepLines w:val="0"/>
              <w:pageBreakBefore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畜牧</w:t>
            </w:r>
          </w:p>
        </w:tc>
        <w:tc>
          <w:tcPr>
            <w:tcW w:w="1308" w:type="pct"/>
            <w:tcBorders>
              <w:top w:val="single" w:color="auto" w:sz="8" w:space="0"/>
              <w:bottom w:val="single" w:color="auto" w:sz="8" w:space="0"/>
            </w:tcBorders>
            <w:noWrap w:val="0"/>
            <w:vAlign w:val="center"/>
          </w:tcPr>
          <w:p w14:paraId="1E9F6305">
            <w:pPr>
              <w:keepNext w:val="0"/>
              <w:keepLines w:val="0"/>
              <w:pageBreakBefore w:val="0"/>
              <w:kinsoku/>
              <w:wordWrap/>
              <w:overflowPunct/>
              <w:topLinePunct w:val="0"/>
              <w:autoSpaceDE/>
              <w:autoSpaceDN/>
              <w:bidi w:val="0"/>
              <w:adjustRightInd/>
              <w:snapToGrid/>
              <w:spacing w:line="240" w:lineRule="auto"/>
              <w:ind w:left="0" w:firstLine="0" w:firstLineChars="0"/>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广西海和种猪有限责任公司</w:t>
            </w:r>
          </w:p>
        </w:tc>
        <w:tc>
          <w:tcPr>
            <w:tcW w:w="1667" w:type="pct"/>
            <w:tcBorders>
              <w:top w:val="single" w:color="auto" w:sz="8" w:space="0"/>
              <w:bottom w:val="single" w:color="auto" w:sz="8" w:space="0"/>
            </w:tcBorders>
            <w:noWrap w:val="0"/>
            <w:vAlign w:val="center"/>
          </w:tcPr>
          <w:p w14:paraId="355B9ABB">
            <w:pPr>
              <w:keepNext w:val="0"/>
              <w:keepLines w:val="0"/>
              <w:pageBreakBefore w:val="0"/>
              <w:kinsoku/>
              <w:wordWrap/>
              <w:overflowPunct/>
              <w:topLinePunct w:val="0"/>
              <w:autoSpaceDE/>
              <w:autoSpaceDN/>
              <w:bidi w:val="0"/>
              <w:adjustRightInd/>
              <w:snapToGrid/>
              <w:spacing w:line="240" w:lineRule="auto"/>
              <w:ind w:left="0" w:firstLine="0" w:firstLineChars="0"/>
              <w:jc w:val="both"/>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lang w:eastAsia="zh-CN"/>
              </w:rPr>
              <w:t>数据资料收集、标准发布后的宣贯培训，对标准进行详细解读。</w:t>
            </w:r>
          </w:p>
        </w:tc>
      </w:tr>
    </w:tbl>
    <w:p w14:paraId="6BE1CEB3">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rPr>
          <w:rFonts w:ascii="黑体" w:hAnsi="黑体" w:eastAsia="黑体" w:cs="仿宋_GB2312"/>
          <w:sz w:val="32"/>
          <w:szCs w:val="32"/>
        </w:rPr>
      </w:pPr>
      <w:r>
        <w:rPr>
          <w:rFonts w:hint="eastAsia" w:ascii="黑体" w:hAnsi="黑体" w:eastAsia="黑体" w:cs="仿宋_GB2312"/>
          <w:sz w:val="32"/>
          <w:szCs w:val="32"/>
        </w:rPr>
        <w:t>二、制定标准的必要性和意义</w:t>
      </w:r>
    </w:p>
    <w:p w14:paraId="17E0B5B9">
      <w:pPr>
        <w:keepNext w:val="0"/>
        <w:keepLines w:val="0"/>
        <w:pageBreakBefore w:val="0"/>
        <w:widowControl w:val="0"/>
        <w:kinsoku/>
        <w:wordWrap/>
        <w:overflowPunct/>
        <w:topLinePunct w:val="0"/>
        <w:autoSpaceDE w:val="0"/>
        <w:autoSpaceDN w:val="0"/>
        <w:bidi w:val="0"/>
        <w:adjustRightInd w:val="0"/>
        <w:snapToGrid/>
        <w:spacing w:line="560" w:lineRule="exact"/>
        <w:ind w:left="0" w:firstLine="640" w:firstLineChars="200"/>
        <w:textAlignment w:val="auto"/>
        <w:rPr>
          <w:rFonts w:hint="eastAsia" w:ascii="仿宋_GB2312" w:hAnsi="宋体" w:eastAsia="仿宋_GB2312"/>
          <w:sz w:val="32"/>
          <w:szCs w:val="28"/>
        </w:rPr>
      </w:pPr>
      <w:r>
        <w:rPr>
          <w:rFonts w:hint="eastAsia" w:ascii="仿宋_GB2312" w:hAnsi="宋体" w:eastAsia="仿宋_GB2312"/>
          <w:sz w:val="32"/>
          <w:szCs w:val="28"/>
        </w:rPr>
        <w:t>猪肉消费在我国居民的肉类消费品中占有重要地位，作为传统的生猪养殖、猪肉消费大国，生猪养殖业也是我国农民增收致富的重要途径。随着人民生活水平的提高，我国居民对猪肉的消费需求逐渐呈现出高质量、多元化的趋势，新鲜、安全、优质的猪肉逐渐成为消费的主流，绿色、有机、低脂、高蛋白等功能性猪肉的消费日渐兴起。此外，猪还可以提供皮革、毛、油脂等丰富的资源，是人类生产和生活中不可或缺的一部分。</w:t>
      </w:r>
    </w:p>
    <w:p w14:paraId="6BC6DD2D">
      <w:pPr>
        <w:keepNext w:val="0"/>
        <w:keepLines w:val="0"/>
        <w:pageBreakBefore w:val="0"/>
        <w:widowControl w:val="0"/>
        <w:kinsoku/>
        <w:wordWrap/>
        <w:overflowPunct/>
        <w:topLinePunct w:val="0"/>
        <w:autoSpaceDE w:val="0"/>
        <w:autoSpaceDN w:val="0"/>
        <w:bidi w:val="0"/>
        <w:adjustRightInd w:val="0"/>
        <w:snapToGrid/>
        <w:spacing w:line="560" w:lineRule="exact"/>
        <w:ind w:left="0" w:firstLine="640" w:firstLineChars="200"/>
        <w:textAlignment w:val="auto"/>
        <w:rPr>
          <w:rFonts w:hint="eastAsia" w:ascii="仿宋_GB2312" w:hAnsi="宋体" w:eastAsia="仿宋_GB2312"/>
          <w:sz w:val="32"/>
          <w:szCs w:val="28"/>
        </w:rPr>
      </w:pPr>
      <w:r>
        <w:rPr>
          <w:rFonts w:hint="eastAsia" w:ascii="仿宋_GB2312" w:hAnsi="宋体" w:eastAsia="仿宋_GB2312"/>
          <w:sz w:val="32"/>
          <w:szCs w:val="28"/>
        </w:rPr>
        <w:t>我国2024年生猪出栏70256万头，猪肉产量5706万吨，12月份规模以上生猪定点屠宰企业屠宰量4162万头，1-12月规模以上生猪定点屠宰企业屠宰量33773万头，1-12月累计进口猪肉107.31万吨，2024年居民家庭人均猪肉消费量28.1公斤/年·人。其中广西截至2025年7月，累计生猪出栏1033.44万头，同比增长11.09%；全区屠宰场生猪屠宰检疫178.94万头，同比增加26.61%；1-7月累计屠宰检疫1268.43万头，同比增加14.45%。为了更好的满足市场的猪肉需求，规模化养殖场的猪繁殖育种工作至关重要。</w:t>
      </w:r>
    </w:p>
    <w:p w14:paraId="709D150E">
      <w:pPr>
        <w:keepNext w:val="0"/>
        <w:keepLines w:val="0"/>
        <w:pageBreakBefore w:val="0"/>
        <w:widowControl w:val="0"/>
        <w:kinsoku/>
        <w:wordWrap/>
        <w:overflowPunct/>
        <w:topLinePunct w:val="0"/>
        <w:autoSpaceDE w:val="0"/>
        <w:autoSpaceDN w:val="0"/>
        <w:bidi w:val="0"/>
        <w:adjustRightInd w:val="0"/>
        <w:snapToGrid/>
        <w:spacing w:line="560" w:lineRule="exact"/>
        <w:ind w:left="0" w:firstLine="640" w:firstLineChars="200"/>
        <w:textAlignment w:val="auto"/>
        <w:rPr>
          <w:rFonts w:hint="eastAsia" w:ascii="仿宋_GB2312" w:hAnsi="宋体" w:eastAsia="仿宋_GB2312"/>
          <w:sz w:val="32"/>
          <w:szCs w:val="28"/>
        </w:rPr>
      </w:pPr>
      <w:r>
        <w:rPr>
          <w:rFonts w:hint="eastAsia" w:ascii="仿宋_GB2312" w:hAnsi="宋体" w:eastAsia="仿宋_GB2312"/>
          <w:sz w:val="32"/>
          <w:szCs w:val="28"/>
        </w:rPr>
        <w:t>猪人工授精技术是通过人工方式采集种公猪精液，经品质检测、稀释、分装、保存后，利用器械将合格精液注入发情母猪生殖道内，使其受孕的繁殖技术。该技术突破自然交配的时空限制，能够显著提高良种公猪的遗传利用率。我国的猪人工授精技术试验始于20世纪50年代，60年代以后才逐渐转入应用，到90年代以后，猪人工授精技术在养猪生产中运用逐渐趋于成熟。随着中国猪现代规模化养殖的不断发展与扩大以及劳动力、饲料及能源等成本的不断增加，猪人工授精技术也一直在不断地发展进步。常规人工授精也称为传统人工授精，由于猪的遗传育种和生产管理水平的不断提高，猪的现代生产中越来越依赖于人工授精技术。在过去的几十年中，我国的常规猪人工授精技术在养殖生产中广泛应用，已发展成为非常成熟的技术，也是当前我国养猪业中使用最为广泛的人工输精技术。但是常规人工授精通过精液可能传播疾病，输精操作不规范，容易造成母猪子宫炎症，受胎率低和产仔数少；精液分装、保存和运输过程不规范易造成配种效果不稳定。‌</w:t>
      </w:r>
    </w:p>
    <w:p w14:paraId="47549152">
      <w:pPr>
        <w:keepNext w:val="0"/>
        <w:keepLines w:val="0"/>
        <w:pageBreakBefore w:val="0"/>
        <w:widowControl w:val="0"/>
        <w:kinsoku/>
        <w:wordWrap/>
        <w:overflowPunct/>
        <w:topLinePunct w:val="0"/>
        <w:autoSpaceDE w:val="0"/>
        <w:autoSpaceDN w:val="0"/>
        <w:bidi w:val="0"/>
        <w:adjustRightInd w:val="0"/>
        <w:snapToGrid/>
        <w:spacing w:line="560" w:lineRule="exact"/>
        <w:ind w:left="0" w:firstLine="640" w:firstLineChars="200"/>
        <w:textAlignment w:val="auto"/>
        <w:rPr>
          <w:rFonts w:hint="eastAsia" w:ascii="仿宋_GB2312" w:hAnsi="宋体" w:eastAsia="仿宋_GB2312"/>
          <w:sz w:val="32"/>
          <w:szCs w:val="28"/>
        </w:rPr>
      </w:pPr>
      <w:r>
        <w:rPr>
          <w:rFonts w:hint="eastAsia" w:ascii="仿宋_GB2312" w:hAnsi="宋体" w:eastAsia="仿宋_GB2312"/>
          <w:sz w:val="32"/>
          <w:szCs w:val="28"/>
        </w:rPr>
        <w:t>深部输精与常规子宫颈授精相比，在将常规输精管插入子宫颈后，再插入一个细并且较软的输精内管，其总长度较常规输精管长15～20cm，可以通过子宫颈进入子宫体。深部输精法相较于常规授精技术能够减少公猪的饲养量，减少精液及稀释剂的使用量；可以最大化利用最优秀的公猪，提高养殖经济效益；输精时间短，可以减少配种人员的投入和工作量；较常规人工输精更容易纳入标准化操作程序的管理和落实执行。但是深部输精法对配种的环境卫生要求更加严格；所用输精器械耗材等成本较高；低剂量的精液对温度波动更为敏感；需要更加严格专业的培训和专业技术人员，对配种技术水平要求更高。</w:t>
      </w:r>
    </w:p>
    <w:p w14:paraId="35EAD802">
      <w:pPr>
        <w:keepNext w:val="0"/>
        <w:keepLines w:val="0"/>
        <w:pageBreakBefore w:val="0"/>
        <w:widowControl w:val="0"/>
        <w:kinsoku/>
        <w:wordWrap/>
        <w:overflowPunct/>
        <w:topLinePunct w:val="0"/>
        <w:autoSpaceDE w:val="0"/>
        <w:autoSpaceDN w:val="0"/>
        <w:bidi w:val="0"/>
        <w:adjustRightInd w:val="0"/>
        <w:snapToGrid/>
        <w:spacing w:line="560" w:lineRule="exact"/>
        <w:ind w:left="0" w:firstLine="640" w:firstLineChars="200"/>
        <w:textAlignment w:val="auto"/>
        <w:rPr>
          <w:rFonts w:hint="eastAsia" w:ascii="仿宋_GB2312" w:hAnsi="宋体" w:eastAsia="仿宋_GB2312"/>
          <w:sz w:val="32"/>
          <w:szCs w:val="28"/>
        </w:rPr>
      </w:pPr>
      <w:r>
        <w:rPr>
          <w:rFonts w:hint="eastAsia" w:ascii="仿宋_GB2312" w:hAnsi="宋体" w:eastAsia="仿宋_GB2312"/>
          <w:sz w:val="32"/>
          <w:szCs w:val="28"/>
        </w:rPr>
        <w:t>因此，制定团体标准《猪人工授精技术规程》，以标准为抓手</w:t>
      </w:r>
      <w:r>
        <w:rPr>
          <w:rFonts w:hint="eastAsia" w:ascii="仿宋_GB2312" w:hAnsi="宋体"/>
          <w:sz w:val="32"/>
          <w:szCs w:val="28"/>
          <w:lang w:eastAsia="zh-CN"/>
        </w:rPr>
        <w:t>，</w:t>
      </w:r>
      <w:r>
        <w:rPr>
          <w:rFonts w:hint="eastAsia" w:ascii="仿宋_GB2312" w:hAnsi="宋体" w:eastAsia="仿宋_GB2312"/>
          <w:sz w:val="32"/>
          <w:szCs w:val="28"/>
        </w:rPr>
        <w:t>统一规范猪人工授精技术，提高猪人工授精技术水平，对提高猪繁殖育种效率，对于猪养殖产业高质量发展具有重要意义。</w:t>
      </w:r>
    </w:p>
    <w:p w14:paraId="64CFA7EF">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rPr>
          <w:rFonts w:ascii="黑体" w:hAnsi="黑体" w:eastAsia="黑体" w:cs="仿宋_GB2312"/>
          <w:sz w:val="32"/>
          <w:szCs w:val="32"/>
        </w:rPr>
      </w:pPr>
      <w:r>
        <w:rPr>
          <w:rFonts w:hint="eastAsia" w:ascii="黑体" w:hAnsi="黑体" w:eastAsia="黑体" w:cs="仿宋_GB2312"/>
          <w:sz w:val="32"/>
          <w:szCs w:val="32"/>
        </w:rPr>
        <w:t>三、主要起草过程</w:t>
      </w:r>
    </w:p>
    <w:p w14:paraId="0D6A5644">
      <w:pPr>
        <w:keepNext w:val="0"/>
        <w:keepLines w:val="0"/>
        <w:pageBreakBefore w:val="0"/>
        <w:kinsoku/>
        <w:overflowPunct/>
        <w:topLinePunct w:val="0"/>
        <w:bidi w:val="0"/>
        <w:snapToGrid/>
        <w:spacing w:line="560" w:lineRule="exact"/>
        <w:ind w:left="0" w:firstLine="643" w:firstLineChars="200"/>
        <w:rPr>
          <w:rFonts w:ascii="楷体" w:hAnsi="楷体" w:eastAsia="楷体"/>
          <w:sz w:val="32"/>
          <w:szCs w:val="28"/>
        </w:rPr>
      </w:pPr>
      <w:r>
        <w:rPr>
          <w:rFonts w:hint="eastAsia" w:ascii="楷体" w:hAnsi="楷体" w:eastAsia="楷体" w:cs="仿宋_GB2312"/>
          <w:b/>
          <w:sz w:val="32"/>
          <w:szCs w:val="28"/>
        </w:rPr>
        <w:t>（一）成立标准编制工作组</w:t>
      </w:r>
    </w:p>
    <w:p w14:paraId="437C2B65">
      <w:pPr>
        <w:keepNext w:val="0"/>
        <w:keepLines w:val="0"/>
        <w:pageBreakBefore w:val="0"/>
        <w:kinsoku/>
        <w:overflowPunct/>
        <w:topLinePunct w:val="0"/>
        <w:bidi w:val="0"/>
        <w:snapToGrid/>
        <w:ind w:left="0" w:firstLine="640" w:firstLineChars="200"/>
        <w:rPr>
          <w:rFonts w:ascii="仿宋_GB2312" w:hAnsi="宋体" w:eastAsia="仿宋_GB2312"/>
          <w:sz w:val="32"/>
          <w:szCs w:val="28"/>
        </w:rPr>
      </w:pPr>
      <w:r>
        <w:rPr>
          <w:rFonts w:hint="eastAsia" w:ascii="仿宋_GB2312" w:hAnsi="宋体" w:eastAsia="仿宋_GB2312"/>
          <w:sz w:val="32"/>
          <w:szCs w:val="28"/>
        </w:rPr>
        <w:t>团体标准《猪人工授精技术规程》项目任务下达后，</w:t>
      </w:r>
      <w:r>
        <w:rPr>
          <w:rFonts w:hint="eastAsia" w:ascii="仿宋_GB2312" w:hAnsi="宋体" w:eastAsia="仿宋_GB2312"/>
          <w:sz w:val="32"/>
          <w:szCs w:val="28"/>
          <w:highlight w:val="none"/>
        </w:rPr>
        <w:t>广西壮族自治区畜禽品种改良站</w:t>
      </w:r>
      <w:r>
        <w:rPr>
          <w:rFonts w:hint="eastAsia" w:ascii="仿宋_GB2312" w:hAnsi="宋体" w:eastAsia="仿宋_GB2312"/>
          <w:sz w:val="32"/>
          <w:szCs w:val="28"/>
        </w:rPr>
        <w:t>成立了标准编制工作组，起草单位制定了起草编写方案与进度安排，明确任务职责，确定工作技术路线，开展标准研制工作。具体标准编制工作由</w:t>
      </w:r>
      <w:r>
        <w:rPr>
          <w:rFonts w:hint="eastAsia" w:ascii="仿宋_GB2312" w:hAnsi="宋体" w:eastAsia="仿宋_GB2312"/>
          <w:sz w:val="32"/>
          <w:szCs w:val="28"/>
          <w:highlight w:val="none"/>
        </w:rPr>
        <w:t>广西壮族自治区畜禽品种改良站、广西贵港秀博基因科技股份有限公司、广西农垦永新畜牧集团有限公司良圻原种猪场、广西农垦永新畜牧集团西江有限公司、广西农业职业技术大学、广西海和种猪有限责任公司</w:t>
      </w:r>
      <w:r>
        <w:rPr>
          <w:rFonts w:hint="eastAsia" w:ascii="仿宋_GB2312" w:hAnsi="宋体" w:eastAsia="仿宋_GB2312"/>
          <w:sz w:val="32"/>
          <w:szCs w:val="28"/>
        </w:rPr>
        <w:t>等单位负责人组成的标准编制工作组完成。</w:t>
      </w:r>
    </w:p>
    <w:p w14:paraId="0D99A07B">
      <w:pPr>
        <w:keepNext w:val="0"/>
        <w:keepLines w:val="0"/>
        <w:pageBreakBefore w:val="0"/>
        <w:kinsoku/>
        <w:overflowPunct/>
        <w:topLinePunct w:val="0"/>
        <w:bidi w:val="0"/>
        <w:snapToGrid/>
        <w:ind w:left="0" w:firstLine="640" w:firstLineChars="200"/>
        <w:rPr>
          <w:rFonts w:ascii="仿宋_GB2312" w:hAnsi="宋体" w:eastAsia="仿宋_GB2312"/>
          <w:sz w:val="32"/>
          <w:szCs w:val="28"/>
        </w:rPr>
      </w:pPr>
      <w:r>
        <w:rPr>
          <w:rFonts w:hint="eastAsia" w:ascii="仿宋_GB2312" w:hAnsi="宋体" w:eastAsia="仿宋_GB2312"/>
          <w:sz w:val="32"/>
          <w:szCs w:val="28"/>
        </w:rPr>
        <w:t>编制工作组下设三个组，分别是资料收集组、草案编写组、标准实施组。</w:t>
      </w:r>
    </w:p>
    <w:p w14:paraId="59AE398B">
      <w:pPr>
        <w:keepNext w:val="0"/>
        <w:keepLines w:val="0"/>
        <w:pageBreakBefore w:val="0"/>
        <w:kinsoku/>
        <w:overflowPunct/>
        <w:topLinePunct w:val="0"/>
        <w:bidi w:val="0"/>
        <w:snapToGrid/>
        <w:ind w:left="0" w:firstLine="640" w:firstLineChars="200"/>
        <w:rPr>
          <w:rFonts w:ascii="仿宋_GB2312" w:hAnsi="宋体" w:eastAsia="仿宋_GB2312"/>
          <w:sz w:val="32"/>
          <w:szCs w:val="28"/>
        </w:rPr>
      </w:pPr>
      <w:r>
        <w:rPr>
          <w:rFonts w:hint="eastAsia" w:ascii="仿宋_GB2312" w:hAnsi="宋体" w:eastAsia="仿宋_GB2312"/>
          <w:sz w:val="32"/>
          <w:szCs w:val="28"/>
        </w:rPr>
        <w:t>资料收集组负责国内外有关</w:t>
      </w:r>
      <w:r>
        <w:rPr>
          <w:rFonts w:hint="eastAsia" w:ascii="仿宋_GB2312" w:hAnsi="宋体"/>
          <w:sz w:val="32"/>
          <w:szCs w:val="28"/>
          <w:lang w:val="en-US" w:eastAsia="zh-CN"/>
        </w:rPr>
        <w:t>猪人工授精技术</w:t>
      </w:r>
      <w:r>
        <w:rPr>
          <w:rFonts w:hint="eastAsia" w:ascii="仿宋_GB2312" w:hAnsi="宋体" w:eastAsia="仿宋_GB2312"/>
          <w:sz w:val="32"/>
          <w:szCs w:val="28"/>
        </w:rPr>
        <w:t>的文献资料的查询、收集和整理工作，查阅前人对</w:t>
      </w:r>
      <w:r>
        <w:rPr>
          <w:rFonts w:hint="eastAsia" w:ascii="仿宋_GB2312" w:hAnsi="宋体"/>
          <w:sz w:val="32"/>
          <w:szCs w:val="28"/>
          <w:lang w:val="en-US" w:eastAsia="zh-CN"/>
        </w:rPr>
        <w:t>猪人工授精技术</w:t>
      </w:r>
      <w:r>
        <w:rPr>
          <w:rFonts w:hint="eastAsia" w:ascii="仿宋_GB2312" w:hAnsi="宋体" w:eastAsia="仿宋_GB2312"/>
          <w:sz w:val="32"/>
          <w:szCs w:val="28"/>
        </w:rPr>
        <w:t>的研究情况。</w:t>
      </w:r>
    </w:p>
    <w:p w14:paraId="0BE25F71">
      <w:pPr>
        <w:keepNext w:val="0"/>
        <w:keepLines w:val="0"/>
        <w:pageBreakBefore w:val="0"/>
        <w:kinsoku/>
        <w:overflowPunct/>
        <w:topLinePunct w:val="0"/>
        <w:bidi w:val="0"/>
        <w:snapToGrid/>
        <w:ind w:left="0" w:firstLine="640" w:firstLineChars="200"/>
        <w:rPr>
          <w:rFonts w:ascii="仿宋_GB2312" w:hAnsi="宋体" w:eastAsia="仿宋_GB2312"/>
          <w:sz w:val="32"/>
          <w:szCs w:val="28"/>
        </w:rPr>
      </w:pPr>
      <w:r>
        <w:rPr>
          <w:rFonts w:hint="eastAsia" w:ascii="仿宋_GB2312" w:hAnsi="宋体" w:eastAsia="仿宋_GB2312"/>
          <w:sz w:val="32"/>
          <w:szCs w:val="28"/>
        </w:rPr>
        <w:t>草案编写组负责起草标准草案、征求意见稿和标准编制说明、送审稿及编制说明的编写工作，包括后期召开征求意见会、网上征求意见，以及标准的不断修改和完善。</w:t>
      </w:r>
    </w:p>
    <w:p w14:paraId="067432A5">
      <w:pPr>
        <w:keepNext w:val="0"/>
        <w:keepLines w:val="0"/>
        <w:pageBreakBefore w:val="0"/>
        <w:kinsoku/>
        <w:overflowPunct/>
        <w:topLinePunct w:val="0"/>
        <w:bidi w:val="0"/>
        <w:snapToGrid/>
        <w:ind w:left="0" w:firstLine="640" w:firstLineChars="200"/>
        <w:rPr>
          <w:rFonts w:ascii="仿宋_GB2312" w:hAnsi="宋体" w:eastAsia="仿宋_GB2312"/>
          <w:sz w:val="32"/>
          <w:szCs w:val="28"/>
        </w:rPr>
      </w:pPr>
      <w:r>
        <w:rPr>
          <w:rFonts w:hint="eastAsia" w:ascii="仿宋_GB2312" w:hAnsi="宋体" w:eastAsia="仿宋_GB2312"/>
          <w:sz w:val="32"/>
          <w:szCs w:val="28"/>
        </w:rPr>
        <w:t>标准实施组负责团体标准《猪人工授精技术规程》发布后，组织相关企事业单位开展标准宣贯培训会，对标准进行详细解读，让相关人员了解标准，并根据标准对</w:t>
      </w:r>
      <w:r>
        <w:rPr>
          <w:rFonts w:hint="eastAsia" w:ascii="仿宋_GB2312" w:hAnsi="宋体"/>
          <w:sz w:val="32"/>
          <w:szCs w:val="28"/>
          <w:lang w:val="en-US" w:eastAsia="zh-CN"/>
        </w:rPr>
        <w:t>猪人工授精</w:t>
      </w:r>
      <w:r>
        <w:rPr>
          <w:rFonts w:hint="eastAsia" w:ascii="仿宋_GB2312" w:hAnsi="宋体" w:eastAsia="仿宋_GB2312"/>
          <w:sz w:val="32"/>
          <w:szCs w:val="28"/>
        </w:rPr>
        <w:t>进行规范化操作，并对标准实施情况进行总结分析，不断对团体标准提出修正意见。</w:t>
      </w:r>
    </w:p>
    <w:p w14:paraId="32C78715">
      <w:pPr>
        <w:keepNext w:val="0"/>
        <w:keepLines w:val="0"/>
        <w:pageBreakBefore w:val="0"/>
        <w:kinsoku/>
        <w:overflowPunct/>
        <w:topLinePunct w:val="0"/>
        <w:bidi w:val="0"/>
        <w:snapToGrid/>
        <w:spacing w:line="560" w:lineRule="exact"/>
        <w:ind w:left="0" w:firstLine="643" w:firstLineChars="200"/>
        <w:rPr>
          <w:rFonts w:ascii="楷体" w:hAnsi="楷体" w:eastAsia="楷体" w:cs="仿宋_GB2312"/>
          <w:b/>
          <w:sz w:val="32"/>
          <w:szCs w:val="28"/>
        </w:rPr>
      </w:pPr>
      <w:r>
        <w:rPr>
          <w:rFonts w:hint="eastAsia" w:ascii="楷体" w:hAnsi="楷体" w:eastAsia="楷体" w:cs="仿宋_GB2312"/>
          <w:b/>
          <w:sz w:val="32"/>
          <w:szCs w:val="28"/>
        </w:rPr>
        <w:t>（二）收集整理文献资料</w:t>
      </w:r>
    </w:p>
    <w:p w14:paraId="2B9611BD">
      <w:pPr>
        <w:keepNext w:val="0"/>
        <w:keepLines w:val="0"/>
        <w:pageBreakBefore w:val="0"/>
        <w:kinsoku/>
        <w:overflowPunct/>
        <w:topLinePunct w:val="0"/>
        <w:bidi w:val="0"/>
        <w:snapToGrid/>
        <w:ind w:left="0" w:firstLine="640" w:firstLineChars="200"/>
        <w:rPr>
          <w:rFonts w:ascii="仿宋_GB2312" w:hAnsi="宋体" w:eastAsia="仿宋_GB2312"/>
          <w:sz w:val="32"/>
          <w:szCs w:val="28"/>
          <w:lang w:val="fr-FR"/>
        </w:rPr>
      </w:pPr>
      <w:r>
        <w:rPr>
          <w:rFonts w:hint="eastAsia" w:ascii="仿宋_GB2312" w:hAnsi="宋体" w:eastAsia="仿宋_GB2312"/>
          <w:sz w:val="32"/>
          <w:szCs w:val="28"/>
        </w:rPr>
        <w:t>标准编制工作组收集了国内有关</w:t>
      </w:r>
      <w:r>
        <w:rPr>
          <w:rFonts w:hint="eastAsia" w:ascii="仿宋_GB2312" w:hAnsi="宋体"/>
          <w:sz w:val="32"/>
          <w:szCs w:val="28"/>
          <w:lang w:eastAsia="zh-CN"/>
        </w:rPr>
        <w:t>“</w:t>
      </w:r>
      <w:r>
        <w:rPr>
          <w:rFonts w:hint="eastAsia" w:ascii="仿宋_GB2312" w:hAnsi="宋体"/>
          <w:sz w:val="32"/>
          <w:szCs w:val="28"/>
          <w:lang w:val="en-US" w:eastAsia="zh-CN"/>
        </w:rPr>
        <w:t>猪人工授精”</w:t>
      </w:r>
      <w:r>
        <w:rPr>
          <w:rFonts w:hint="eastAsia" w:ascii="仿宋_GB2312" w:hAnsi="宋体" w:eastAsia="仿宋_GB2312"/>
          <w:sz w:val="32"/>
          <w:szCs w:val="28"/>
        </w:rPr>
        <w:t>相关文献资料。主要有</w:t>
      </w:r>
      <w:r>
        <w:rPr>
          <w:rFonts w:hint="eastAsia" w:ascii="仿宋_GB2312" w:hAnsi="宋体" w:eastAsia="仿宋_GB2312"/>
          <w:sz w:val="32"/>
          <w:szCs w:val="28"/>
          <w:lang w:val="fr-FR"/>
        </w:rPr>
        <w:t>：</w:t>
      </w:r>
    </w:p>
    <w:p w14:paraId="2A2C6236">
      <w:pPr>
        <w:keepNext w:val="0"/>
        <w:keepLines w:val="0"/>
        <w:pageBreakBefore w:val="0"/>
        <w:kinsoku/>
        <w:overflowPunct/>
        <w:topLinePunct w:val="0"/>
        <w:bidi w:val="0"/>
        <w:snapToGrid/>
        <w:spacing w:line="560" w:lineRule="exact"/>
        <w:ind w:left="0" w:firstLine="640" w:firstLineChars="200"/>
        <w:rPr>
          <w:rFonts w:hint="eastAsia" w:ascii="仿宋_GB2312" w:hAnsi="宋体" w:eastAsia="仿宋_GB2312"/>
          <w:sz w:val="32"/>
          <w:szCs w:val="28"/>
        </w:rPr>
      </w:pPr>
      <w:r>
        <w:rPr>
          <w:rFonts w:hint="eastAsia" w:ascii="仿宋_GB2312" w:hAnsi="宋体"/>
          <w:sz w:val="32"/>
          <w:szCs w:val="28"/>
          <w:lang w:eastAsia="zh-CN"/>
        </w:rPr>
        <w:t>（</w:t>
      </w:r>
      <w:r>
        <w:rPr>
          <w:rFonts w:hint="eastAsia" w:ascii="仿宋_GB2312" w:hAnsi="宋体"/>
          <w:sz w:val="32"/>
          <w:szCs w:val="28"/>
          <w:lang w:val="en-US" w:eastAsia="zh-CN"/>
        </w:rPr>
        <w:t>1）</w:t>
      </w:r>
      <w:r>
        <w:rPr>
          <w:rFonts w:hint="eastAsia" w:ascii="仿宋_GB2312" w:hAnsi="宋体" w:eastAsia="仿宋_GB2312"/>
          <w:sz w:val="32"/>
          <w:szCs w:val="28"/>
        </w:rPr>
        <w:t>NY/T 636-2021  猪人工授精技术规程</w:t>
      </w:r>
    </w:p>
    <w:p w14:paraId="18EEC0C9">
      <w:pPr>
        <w:keepNext w:val="0"/>
        <w:keepLines w:val="0"/>
        <w:pageBreakBefore w:val="0"/>
        <w:kinsoku/>
        <w:overflowPunct/>
        <w:topLinePunct w:val="0"/>
        <w:bidi w:val="0"/>
        <w:snapToGrid/>
        <w:spacing w:line="560" w:lineRule="exact"/>
        <w:ind w:left="0" w:firstLine="640" w:firstLineChars="200"/>
        <w:rPr>
          <w:rFonts w:hint="eastAsia" w:ascii="仿宋_GB2312" w:hAnsi="宋体" w:eastAsia="仿宋_GB2312"/>
          <w:sz w:val="32"/>
          <w:szCs w:val="28"/>
        </w:rPr>
      </w:pPr>
      <w:r>
        <w:rPr>
          <w:rFonts w:hint="eastAsia" w:ascii="仿宋_GB2312" w:hAnsi="宋体"/>
          <w:sz w:val="32"/>
          <w:szCs w:val="28"/>
          <w:lang w:eastAsia="zh-CN"/>
        </w:rPr>
        <w:t>（</w:t>
      </w:r>
      <w:r>
        <w:rPr>
          <w:rFonts w:hint="eastAsia" w:ascii="仿宋_GB2312" w:hAnsi="宋体"/>
          <w:sz w:val="32"/>
          <w:szCs w:val="28"/>
          <w:lang w:val="en-US" w:eastAsia="zh-CN"/>
        </w:rPr>
        <w:t>2）</w:t>
      </w:r>
      <w:r>
        <w:rPr>
          <w:rFonts w:hint="eastAsia" w:ascii="仿宋_GB2312" w:hAnsi="宋体" w:eastAsia="仿宋_GB2312"/>
          <w:sz w:val="32"/>
          <w:szCs w:val="28"/>
        </w:rPr>
        <w:t>DB43/T 226-2004  猪人工授精技术规范</w:t>
      </w:r>
    </w:p>
    <w:p w14:paraId="6C2737B1">
      <w:pPr>
        <w:keepNext w:val="0"/>
        <w:keepLines w:val="0"/>
        <w:pageBreakBefore w:val="0"/>
        <w:kinsoku/>
        <w:overflowPunct/>
        <w:topLinePunct w:val="0"/>
        <w:bidi w:val="0"/>
        <w:snapToGrid/>
        <w:spacing w:line="560" w:lineRule="exact"/>
        <w:ind w:left="0" w:firstLine="640" w:firstLineChars="200"/>
        <w:rPr>
          <w:rFonts w:hint="eastAsia" w:ascii="仿宋_GB2312" w:hAnsi="宋体" w:eastAsia="仿宋_GB2312"/>
          <w:sz w:val="32"/>
          <w:szCs w:val="28"/>
        </w:rPr>
      </w:pPr>
      <w:r>
        <w:rPr>
          <w:rFonts w:hint="eastAsia" w:ascii="仿宋_GB2312" w:hAnsi="宋体"/>
          <w:sz w:val="32"/>
          <w:szCs w:val="28"/>
          <w:lang w:eastAsia="zh-CN"/>
        </w:rPr>
        <w:t>（</w:t>
      </w:r>
      <w:r>
        <w:rPr>
          <w:rFonts w:hint="eastAsia" w:ascii="仿宋_GB2312" w:hAnsi="宋体"/>
          <w:sz w:val="32"/>
          <w:szCs w:val="28"/>
          <w:lang w:val="en-US" w:eastAsia="zh-CN"/>
        </w:rPr>
        <w:t>3）</w:t>
      </w:r>
      <w:r>
        <w:rPr>
          <w:rFonts w:hint="eastAsia" w:ascii="仿宋_GB2312" w:hAnsi="宋体" w:eastAsia="仿宋_GB2312"/>
          <w:sz w:val="32"/>
          <w:szCs w:val="28"/>
        </w:rPr>
        <w:t>DB4114/T 144-2020  猪人工授精操作规程</w:t>
      </w:r>
    </w:p>
    <w:p w14:paraId="15F0E92F">
      <w:pPr>
        <w:keepNext w:val="0"/>
        <w:keepLines w:val="0"/>
        <w:pageBreakBefore w:val="0"/>
        <w:kinsoku/>
        <w:overflowPunct/>
        <w:topLinePunct w:val="0"/>
        <w:bidi w:val="0"/>
        <w:snapToGrid/>
        <w:spacing w:line="560" w:lineRule="exact"/>
        <w:ind w:left="0" w:firstLine="640" w:firstLineChars="200"/>
        <w:rPr>
          <w:rFonts w:hint="eastAsia" w:ascii="仿宋_GB2312" w:hAnsi="宋体" w:eastAsia="仿宋_GB2312"/>
          <w:sz w:val="32"/>
          <w:szCs w:val="28"/>
        </w:rPr>
      </w:pPr>
      <w:r>
        <w:rPr>
          <w:rFonts w:hint="eastAsia" w:ascii="仿宋_GB2312" w:hAnsi="宋体"/>
          <w:sz w:val="32"/>
          <w:szCs w:val="28"/>
          <w:lang w:eastAsia="zh-CN"/>
        </w:rPr>
        <w:t>（</w:t>
      </w:r>
      <w:r>
        <w:rPr>
          <w:rFonts w:hint="eastAsia" w:ascii="仿宋_GB2312" w:hAnsi="宋体"/>
          <w:sz w:val="32"/>
          <w:szCs w:val="28"/>
          <w:lang w:val="en-US" w:eastAsia="zh-CN"/>
        </w:rPr>
        <w:t>4）</w:t>
      </w:r>
      <w:r>
        <w:rPr>
          <w:rFonts w:hint="eastAsia" w:ascii="仿宋_GB2312" w:hAnsi="宋体" w:eastAsia="仿宋_GB2312"/>
          <w:sz w:val="32"/>
          <w:szCs w:val="28"/>
        </w:rPr>
        <w:t>DB1307/T 423-2023  母猪深度人工授精技术规范</w:t>
      </w:r>
    </w:p>
    <w:p w14:paraId="6F0C130A">
      <w:pPr>
        <w:keepNext w:val="0"/>
        <w:keepLines w:val="0"/>
        <w:pageBreakBefore w:val="0"/>
        <w:kinsoku/>
        <w:overflowPunct/>
        <w:topLinePunct w:val="0"/>
        <w:bidi w:val="0"/>
        <w:snapToGrid/>
        <w:spacing w:line="560" w:lineRule="exact"/>
        <w:ind w:left="0" w:firstLine="640" w:firstLineChars="200"/>
        <w:rPr>
          <w:rFonts w:hint="eastAsia" w:ascii="仿宋_GB2312" w:hAnsi="宋体" w:eastAsia="仿宋_GB2312"/>
          <w:sz w:val="32"/>
          <w:szCs w:val="28"/>
        </w:rPr>
      </w:pPr>
      <w:r>
        <w:rPr>
          <w:rFonts w:hint="eastAsia" w:ascii="仿宋_GB2312" w:hAnsi="宋体"/>
          <w:sz w:val="32"/>
          <w:szCs w:val="28"/>
          <w:lang w:eastAsia="zh-CN"/>
        </w:rPr>
        <w:t>（</w:t>
      </w:r>
      <w:r>
        <w:rPr>
          <w:rFonts w:hint="eastAsia" w:ascii="仿宋_GB2312" w:hAnsi="宋体"/>
          <w:sz w:val="32"/>
          <w:szCs w:val="28"/>
          <w:lang w:val="en-US" w:eastAsia="zh-CN"/>
        </w:rPr>
        <w:t>5）</w:t>
      </w:r>
      <w:r>
        <w:rPr>
          <w:rFonts w:hint="eastAsia" w:ascii="仿宋_GB2312" w:hAnsi="宋体" w:eastAsia="仿宋_GB2312"/>
          <w:sz w:val="32"/>
          <w:szCs w:val="28"/>
        </w:rPr>
        <w:t>DB54/T 0352-2024  藏猪人工授精技术规程</w:t>
      </w:r>
    </w:p>
    <w:p w14:paraId="1FA707BF">
      <w:pPr>
        <w:keepNext w:val="0"/>
        <w:keepLines w:val="0"/>
        <w:pageBreakBefore w:val="0"/>
        <w:kinsoku/>
        <w:overflowPunct/>
        <w:topLinePunct w:val="0"/>
        <w:bidi w:val="0"/>
        <w:snapToGrid/>
        <w:spacing w:line="560" w:lineRule="exact"/>
        <w:ind w:left="0" w:firstLine="640" w:firstLineChars="200"/>
        <w:rPr>
          <w:rFonts w:hint="eastAsia" w:ascii="仿宋_GB2312" w:hAnsi="宋体" w:eastAsia="仿宋_GB2312"/>
          <w:sz w:val="32"/>
          <w:szCs w:val="28"/>
        </w:rPr>
      </w:pPr>
      <w:r>
        <w:rPr>
          <w:rFonts w:hint="eastAsia" w:ascii="仿宋_GB2312" w:hAnsi="宋体"/>
          <w:sz w:val="32"/>
          <w:szCs w:val="28"/>
          <w:lang w:eastAsia="zh-CN"/>
        </w:rPr>
        <w:t>（</w:t>
      </w:r>
      <w:r>
        <w:rPr>
          <w:rFonts w:hint="eastAsia" w:ascii="仿宋_GB2312" w:hAnsi="宋体"/>
          <w:sz w:val="32"/>
          <w:szCs w:val="28"/>
          <w:lang w:val="en-US" w:eastAsia="zh-CN"/>
        </w:rPr>
        <w:t>6）</w:t>
      </w:r>
      <w:r>
        <w:rPr>
          <w:rFonts w:hint="eastAsia" w:ascii="仿宋_GB2312" w:hAnsi="宋体" w:eastAsia="仿宋_GB2312"/>
          <w:sz w:val="32"/>
          <w:szCs w:val="28"/>
        </w:rPr>
        <w:t>DB5133/T 97-2024  藏猪人工授精技术规程</w:t>
      </w:r>
    </w:p>
    <w:p w14:paraId="716C067C">
      <w:pPr>
        <w:keepNext w:val="0"/>
        <w:keepLines w:val="0"/>
        <w:pageBreakBefore w:val="0"/>
        <w:kinsoku/>
        <w:overflowPunct/>
        <w:topLinePunct w:val="0"/>
        <w:bidi w:val="0"/>
        <w:snapToGrid/>
        <w:spacing w:line="560" w:lineRule="exact"/>
        <w:ind w:left="0" w:firstLine="640" w:firstLineChars="200"/>
        <w:rPr>
          <w:rFonts w:hint="eastAsia" w:ascii="仿宋_GB2312" w:hAnsi="宋体" w:eastAsia="仿宋_GB2312"/>
          <w:sz w:val="32"/>
          <w:szCs w:val="28"/>
        </w:rPr>
      </w:pPr>
      <w:r>
        <w:rPr>
          <w:rFonts w:hint="eastAsia" w:ascii="仿宋_GB2312" w:hAnsi="宋体"/>
          <w:sz w:val="32"/>
          <w:szCs w:val="28"/>
          <w:lang w:eastAsia="zh-CN"/>
        </w:rPr>
        <w:t>（</w:t>
      </w:r>
      <w:r>
        <w:rPr>
          <w:rFonts w:hint="eastAsia" w:ascii="仿宋_GB2312" w:hAnsi="宋体"/>
          <w:sz w:val="32"/>
          <w:szCs w:val="28"/>
          <w:lang w:val="en-US" w:eastAsia="zh-CN"/>
        </w:rPr>
        <w:t>7）</w:t>
      </w:r>
      <w:r>
        <w:rPr>
          <w:rFonts w:hint="eastAsia" w:ascii="仿宋_GB2312" w:hAnsi="宋体" w:eastAsia="仿宋_GB2312"/>
          <w:sz w:val="32"/>
          <w:szCs w:val="28"/>
        </w:rPr>
        <w:t>DB5206/T 01-2018  铜仁市猪人工授精技术操作规程</w:t>
      </w:r>
    </w:p>
    <w:p w14:paraId="3DBCD45A">
      <w:pPr>
        <w:keepNext w:val="0"/>
        <w:keepLines w:val="0"/>
        <w:pageBreakBefore w:val="0"/>
        <w:kinsoku/>
        <w:overflowPunct/>
        <w:topLinePunct w:val="0"/>
        <w:bidi w:val="0"/>
        <w:snapToGrid/>
        <w:spacing w:line="560" w:lineRule="exact"/>
        <w:ind w:left="0" w:firstLine="640" w:firstLineChars="200"/>
        <w:rPr>
          <w:rFonts w:hint="eastAsia" w:ascii="仿宋_GB2312" w:hAnsi="宋体" w:eastAsia="仿宋_GB2312"/>
          <w:sz w:val="32"/>
          <w:szCs w:val="28"/>
        </w:rPr>
      </w:pPr>
      <w:r>
        <w:rPr>
          <w:rFonts w:hint="eastAsia" w:ascii="仿宋_GB2312" w:hAnsi="宋体"/>
          <w:sz w:val="32"/>
          <w:szCs w:val="28"/>
          <w:lang w:eastAsia="zh-CN"/>
        </w:rPr>
        <w:t>（</w:t>
      </w:r>
      <w:r>
        <w:rPr>
          <w:rFonts w:hint="eastAsia" w:ascii="仿宋_GB2312" w:hAnsi="宋体"/>
          <w:sz w:val="32"/>
          <w:szCs w:val="28"/>
          <w:lang w:val="en-US" w:eastAsia="zh-CN"/>
        </w:rPr>
        <w:t>8）</w:t>
      </w:r>
      <w:r>
        <w:rPr>
          <w:rFonts w:hint="eastAsia" w:ascii="仿宋_GB2312" w:hAnsi="宋体" w:eastAsia="仿宋_GB2312"/>
          <w:sz w:val="32"/>
          <w:szCs w:val="28"/>
        </w:rPr>
        <w:t>DB5303/T 6.4-2013  滇陆猪综合标准  第4部分：滇陆猪人工授精操作规程</w:t>
      </w:r>
    </w:p>
    <w:p w14:paraId="22AFA1F3">
      <w:pPr>
        <w:keepNext w:val="0"/>
        <w:keepLines w:val="0"/>
        <w:pageBreakBefore w:val="0"/>
        <w:kinsoku/>
        <w:overflowPunct/>
        <w:topLinePunct w:val="0"/>
        <w:bidi w:val="0"/>
        <w:snapToGrid/>
        <w:spacing w:line="560" w:lineRule="exact"/>
        <w:ind w:left="0" w:firstLine="640" w:firstLineChars="200"/>
        <w:rPr>
          <w:rFonts w:hint="eastAsia" w:ascii="仿宋_GB2312" w:hAnsi="宋体" w:eastAsia="仿宋_GB2312"/>
          <w:sz w:val="32"/>
          <w:szCs w:val="28"/>
        </w:rPr>
      </w:pPr>
      <w:r>
        <w:rPr>
          <w:rFonts w:hint="eastAsia" w:ascii="仿宋_GB2312" w:hAnsi="宋体"/>
          <w:sz w:val="32"/>
          <w:szCs w:val="28"/>
          <w:lang w:eastAsia="zh-CN"/>
        </w:rPr>
        <w:t>（</w:t>
      </w:r>
      <w:r>
        <w:rPr>
          <w:rFonts w:hint="eastAsia" w:ascii="仿宋_GB2312" w:hAnsi="宋体"/>
          <w:sz w:val="32"/>
          <w:szCs w:val="28"/>
          <w:lang w:val="en-US" w:eastAsia="zh-CN"/>
        </w:rPr>
        <w:t>9）</w:t>
      </w:r>
      <w:r>
        <w:rPr>
          <w:rFonts w:hint="eastAsia" w:ascii="仿宋_GB2312" w:hAnsi="宋体" w:eastAsia="仿宋_GB2312"/>
          <w:sz w:val="32"/>
          <w:szCs w:val="28"/>
        </w:rPr>
        <w:t>T/LZSZZHY 006-2024  藏猪人工授精技术规程</w:t>
      </w:r>
    </w:p>
    <w:p w14:paraId="373342B9">
      <w:pPr>
        <w:keepNext w:val="0"/>
        <w:keepLines w:val="0"/>
        <w:pageBreakBefore w:val="0"/>
        <w:kinsoku/>
        <w:overflowPunct/>
        <w:topLinePunct w:val="0"/>
        <w:bidi w:val="0"/>
        <w:snapToGrid/>
        <w:spacing w:line="560" w:lineRule="exact"/>
        <w:ind w:left="0" w:firstLine="640" w:firstLineChars="200"/>
        <w:rPr>
          <w:rFonts w:ascii="仿宋_GB2312" w:hAnsi="宋体" w:eastAsia="仿宋_GB2312"/>
          <w:sz w:val="32"/>
          <w:szCs w:val="28"/>
        </w:rPr>
      </w:pPr>
      <w:r>
        <w:rPr>
          <w:rFonts w:hint="eastAsia" w:ascii="仿宋_GB2312" w:hAnsi="宋体"/>
          <w:sz w:val="32"/>
          <w:szCs w:val="28"/>
          <w:lang w:eastAsia="zh-CN"/>
        </w:rPr>
        <w:t>（</w:t>
      </w:r>
      <w:r>
        <w:rPr>
          <w:rFonts w:hint="eastAsia" w:ascii="仿宋_GB2312" w:hAnsi="宋体"/>
          <w:sz w:val="32"/>
          <w:szCs w:val="28"/>
          <w:lang w:val="en-US" w:eastAsia="zh-CN"/>
        </w:rPr>
        <w:t>10）</w:t>
      </w:r>
      <w:r>
        <w:rPr>
          <w:rFonts w:hint="eastAsia" w:ascii="仿宋_GB2312" w:hAnsi="宋体" w:eastAsia="仿宋_GB2312"/>
          <w:sz w:val="32"/>
          <w:szCs w:val="28"/>
        </w:rPr>
        <w:t>T/LZZLXH 046-2021  藏猪人工授精技术规程</w:t>
      </w:r>
    </w:p>
    <w:p w14:paraId="44937C7D">
      <w:pPr>
        <w:keepNext w:val="0"/>
        <w:keepLines w:val="0"/>
        <w:pageBreakBefore w:val="0"/>
        <w:kinsoku/>
        <w:overflowPunct/>
        <w:topLinePunct w:val="0"/>
        <w:bidi w:val="0"/>
        <w:snapToGrid/>
        <w:spacing w:line="560" w:lineRule="exact"/>
        <w:ind w:left="0" w:firstLine="643" w:firstLineChars="200"/>
        <w:rPr>
          <w:rFonts w:hint="eastAsia" w:ascii="楷体" w:hAnsi="楷体" w:eastAsia="楷体" w:cs="仿宋_GB2312"/>
          <w:b/>
          <w:sz w:val="32"/>
          <w:szCs w:val="28"/>
        </w:rPr>
      </w:pPr>
      <w:r>
        <w:rPr>
          <w:rFonts w:hint="eastAsia" w:ascii="楷体" w:hAnsi="楷体" w:eastAsia="楷体" w:cs="仿宋_GB2312"/>
          <w:b/>
          <w:sz w:val="32"/>
          <w:szCs w:val="28"/>
        </w:rPr>
        <w:t>（三）研讨确定标准</w:t>
      </w:r>
      <w:r>
        <w:rPr>
          <w:rFonts w:hint="eastAsia" w:ascii="楷体" w:hAnsi="楷体" w:eastAsia="楷体" w:cs="仿宋_GB2312"/>
          <w:b/>
          <w:sz w:val="32"/>
          <w:szCs w:val="28"/>
          <w:lang w:val="en-US" w:eastAsia="zh-CN"/>
        </w:rPr>
        <w:t>特色、创新点和</w:t>
      </w:r>
      <w:r>
        <w:rPr>
          <w:rFonts w:hint="eastAsia" w:ascii="楷体" w:hAnsi="楷体" w:eastAsia="楷体" w:cs="仿宋_GB2312"/>
          <w:b/>
          <w:sz w:val="32"/>
          <w:szCs w:val="28"/>
        </w:rPr>
        <w:t>主体内容</w:t>
      </w:r>
    </w:p>
    <w:p w14:paraId="112C6D3D">
      <w:pPr>
        <w:pStyle w:val="2"/>
        <w:keepNext w:val="0"/>
        <w:keepLines w:val="0"/>
        <w:pageBreakBefore w:val="0"/>
        <w:widowControl w:val="0"/>
        <w:kinsoku/>
        <w:wordWrap/>
        <w:overflowPunct/>
        <w:topLinePunct w:val="0"/>
        <w:autoSpaceDE/>
        <w:autoSpaceDN/>
        <w:bidi w:val="0"/>
        <w:adjustRightInd/>
        <w:snapToGrid/>
        <w:spacing w:after="0"/>
        <w:rPr>
          <w:rFonts w:hint="eastAsia" w:ascii="仿宋_GB2312" w:hAnsi="仿宋_GB2312" w:eastAsia="仿宋_GB2312" w:cs="仿宋_GB2312"/>
          <w:b/>
          <w:bCs w:val="0"/>
          <w:sz w:val="32"/>
          <w:szCs w:val="28"/>
          <w:lang w:val="en-US" w:eastAsia="zh-CN"/>
        </w:rPr>
      </w:pPr>
      <w:r>
        <w:rPr>
          <w:rFonts w:hint="eastAsia" w:ascii="仿宋_GB2312" w:hAnsi="仿宋_GB2312" w:eastAsia="仿宋_GB2312" w:cs="仿宋_GB2312"/>
          <w:b/>
          <w:bCs w:val="0"/>
          <w:sz w:val="32"/>
          <w:szCs w:val="28"/>
          <w:lang w:val="en-US" w:eastAsia="zh-CN"/>
        </w:rPr>
        <w:t>1、标准特色、创新点</w:t>
      </w:r>
    </w:p>
    <w:p w14:paraId="493932AD">
      <w:pPr>
        <w:pStyle w:val="2"/>
        <w:keepNext w:val="0"/>
        <w:keepLines w:val="0"/>
        <w:pageBreakBefore w:val="0"/>
        <w:widowControl w:val="0"/>
        <w:kinsoku/>
        <w:wordWrap/>
        <w:overflowPunct/>
        <w:topLinePunct w:val="0"/>
        <w:autoSpaceDE/>
        <w:autoSpaceDN/>
        <w:bidi w:val="0"/>
        <w:adjustRightInd/>
        <w:snapToGrid/>
        <w:spacing w:after="0"/>
        <w:rPr>
          <w:rFonts w:hint="eastAsia" w:ascii="仿宋_GB2312" w:hAnsi="仿宋_GB2312" w:eastAsia="仿宋_GB2312" w:cs="仿宋_GB2312"/>
          <w:b w:val="0"/>
          <w:bCs/>
          <w:sz w:val="32"/>
          <w:szCs w:val="28"/>
          <w:lang w:val="en-US" w:eastAsia="zh-CN"/>
        </w:rPr>
      </w:pPr>
      <w:r>
        <w:rPr>
          <w:rFonts w:hint="eastAsia" w:ascii="仿宋_GB2312" w:hAnsi="仿宋_GB2312" w:eastAsia="仿宋_GB2312" w:cs="仿宋_GB2312"/>
          <w:b w:val="0"/>
          <w:bCs/>
          <w:sz w:val="32"/>
          <w:szCs w:val="28"/>
          <w:lang w:val="en-US" w:eastAsia="zh-CN"/>
        </w:rPr>
        <w:t>（</w:t>
      </w:r>
      <w:r>
        <w:rPr>
          <w:rFonts w:hint="eastAsia" w:ascii="仿宋_GB2312" w:hAnsi="仿宋_GB2312" w:cs="仿宋_GB2312"/>
          <w:b w:val="0"/>
          <w:bCs/>
          <w:sz w:val="32"/>
          <w:szCs w:val="28"/>
          <w:lang w:val="en-US" w:eastAsia="zh-CN"/>
        </w:rPr>
        <w:t>1</w:t>
      </w:r>
      <w:r>
        <w:rPr>
          <w:rFonts w:hint="eastAsia" w:ascii="仿宋_GB2312" w:hAnsi="仿宋_GB2312" w:eastAsia="仿宋_GB2312" w:cs="仿宋_GB2312"/>
          <w:b w:val="0"/>
          <w:bCs/>
          <w:sz w:val="32"/>
          <w:szCs w:val="28"/>
          <w:lang w:val="en-US" w:eastAsia="zh-CN"/>
        </w:rPr>
        <w:t>）针对采精效率低、成本大、易传播疫病等问题，提出“坑道自动采精法”与“坑道自动采精程序”。坑道自动采精法：1坑+4个采精位可满足饲养规模在100～200头公猪+每天循环采精模式，仅需配置2个在岗人员；1坑+6采精位可满足饲养规模200～250头公猪+每天循环采精模式，仅需配置3个在岗人员</w:t>
      </w:r>
      <w:r>
        <w:rPr>
          <w:rFonts w:hint="eastAsia" w:ascii="仿宋_GB2312" w:hAnsi="仿宋_GB2312" w:cs="仿宋_GB2312"/>
          <w:b w:val="0"/>
          <w:bCs/>
          <w:sz w:val="32"/>
          <w:szCs w:val="28"/>
          <w:lang w:val="en-US" w:eastAsia="zh-CN"/>
        </w:rPr>
        <w:t>，极大提高了采精效率</w:t>
      </w:r>
      <w:r>
        <w:rPr>
          <w:rFonts w:hint="eastAsia" w:ascii="仿宋_GB2312" w:hAnsi="仿宋_GB2312" w:eastAsia="仿宋_GB2312" w:cs="仿宋_GB2312"/>
          <w:b w:val="0"/>
          <w:bCs/>
          <w:sz w:val="32"/>
          <w:szCs w:val="28"/>
          <w:lang w:val="en-US" w:eastAsia="zh-CN"/>
        </w:rPr>
        <w:t>。</w:t>
      </w:r>
    </w:p>
    <w:p w14:paraId="4957F720">
      <w:pPr>
        <w:pStyle w:val="2"/>
        <w:keepNext w:val="0"/>
        <w:keepLines w:val="0"/>
        <w:pageBreakBefore w:val="0"/>
        <w:widowControl w:val="0"/>
        <w:kinsoku/>
        <w:wordWrap/>
        <w:overflowPunct/>
        <w:topLinePunct w:val="0"/>
        <w:autoSpaceDE/>
        <w:autoSpaceDN/>
        <w:bidi w:val="0"/>
        <w:adjustRightInd/>
        <w:snapToGrid/>
        <w:spacing w:after="0"/>
        <w:rPr>
          <w:rFonts w:hint="eastAsia" w:ascii="仿宋_GB2312" w:hAnsi="仿宋_GB2312" w:eastAsia="仿宋_GB2312" w:cs="仿宋_GB2312"/>
          <w:b w:val="0"/>
          <w:bCs/>
          <w:sz w:val="32"/>
          <w:szCs w:val="28"/>
          <w:lang w:val="en-US" w:eastAsia="zh-CN"/>
        </w:rPr>
      </w:pPr>
      <w:r>
        <w:rPr>
          <w:rFonts w:hint="eastAsia" w:ascii="仿宋_GB2312" w:hAnsi="仿宋_GB2312" w:eastAsia="仿宋_GB2312" w:cs="仿宋_GB2312"/>
          <w:b w:val="0"/>
          <w:bCs/>
          <w:sz w:val="32"/>
          <w:szCs w:val="28"/>
          <w:lang w:val="en-US" w:eastAsia="zh-CN"/>
        </w:rPr>
        <w:t>（</w:t>
      </w:r>
      <w:r>
        <w:rPr>
          <w:rFonts w:hint="eastAsia" w:ascii="仿宋_GB2312" w:hAnsi="仿宋_GB2312" w:cs="仿宋_GB2312"/>
          <w:b w:val="0"/>
          <w:bCs/>
          <w:sz w:val="32"/>
          <w:szCs w:val="28"/>
          <w:lang w:val="en-US" w:eastAsia="zh-CN"/>
        </w:rPr>
        <w:t>2</w:t>
      </w:r>
      <w:r>
        <w:rPr>
          <w:rFonts w:hint="eastAsia" w:ascii="仿宋_GB2312" w:hAnsi="仿宋_GB2312" w:eastAsia="仿宋_GB2312" w:cs="仿宋_GB2312"/>
          <w:b w:val="0"/>
          <w:bCs/>
          <w:sz w:val="32"/>
          <w:szCs w:val="28"/>
          <w:lang w:val="en-US" w:eastAsia="zh-CN"/>
        </w:rPr>
        <w:t>）结合“冷冻精液人工授精技术”，超低温长期冷冻保存的精液更加方便长途运输，在升温解冻之后再次恢复活力正常使用。超低温冷冻方法作为活体保种的补充方式，可以较长时间地保存猪的优势基因，对猪品种改良和生产力的提高起到了巨大的作用。</w:t>
      </w:r>
    </w:p>
    <w:p w14:paraId="15A8019F">
      <w:pPr>
        <w:pStyle w:val="2"/>
        <w:keepNext w:val="0"/>
        <w:keepLines w:val="0"/>
        <w:pageBreakBefore w:val="0"/>
        <w:widowControl w:val="0"/>
        <w:kinsoku/>
        <w:wordWrap/>
        <w:overflowPunct/>
        <w:topLinePunct w:val="0"/>
        <w:autoSpaceDE/>
        <w:autoSpaceDN/>
        <w:bidi w:val="0"/>
        <w:adjustRightInd/>
        <w:snapToGrid/>
        <w:spacing w:after="0"/>
        <w:rPr>
          <w:rFonts w:hint="eastAsia" w:ascii="仿宋_GB2312" w:hAnsi="仿宋_GB2312" w:eastAsia="仿宋_GB2312" w:cs="仿宋_GB2312"/>
          <w:b w:val="0"/>
          <w:bCs/>
          <w:sz w:val="32"/>
          <w:szCs w:val="28"/>
          <w:lang w:val="en-US" w:eastAsia="zh-CN"/>
        </w:rPr>
      </w:pPr>
      <w:r>
        <w:rPr>
          <w:rFonts w:hint="eastAsia" w:ascii="仿宋_GB2312" w:hAnsi="仿宋_GB2312" w:eastAsia="仿宋_GB2312" w:cs="仿宋_GB2312"/>
          <w:b w:val="0"/>
          <w:bCs/>
          <w:sz w:val="32"/>
          <w:szCs w:val="28"/>
          <w:lang w:val="en-US" w:eastAsia="zh-CN"/>
        </w:rPr>
        <w:t>（</w:t>
      </w:r>
      <w:r>
        <w:rPr>
          <w:rFonts w:hint="eastAsia" w:ascii="仿宋_GB2312" w:hAnsi="仿宋_GB2312" w:cs="仿宋_GB2312"/>
          <w:b w:val="0"/>
          <w:bCs/>
          <w:sz w:val="32"/>
          <w:szCs w:val="28"/>
          <w:lang w:val="en-US" w:eastAsia="zh-CN"/>
        </w:rPr>
        <w:t>3</w:t>
      </w:r>
      <w:r>
        <w:rPr>
          <w:rFonts w:hint="eastAsia" w:ascii="仿宋_GB2312" w:hAnsi="仿宋_GB2312" w:eastAsia="仿宋_GB2312" w:cs="仿宋_GB2312"/>
          <w:b w:val="0"/>
          <w:bCs/>
          <w:sz w:val="32"/>
          <w:szCs w:val="28"/>
          <w:lang w:val="en-US" w:eastAsia="zh-CN"/>
        </w:rPr>
        <w:t>）结合“深部输精”技术，能更精准地确定输精部位，进一步减少精液的使用量，显著提高优秀种猪冷冻精液使用效果，并且能进一步提高经产母猪受胎率、分娩率和总产仔头数，缩短育种进程，提高经济效益。</w:t>
      </w:r>
    </w:p>
    <w:p w14:paraId="18B8DCE2">
      <w:pPr>
        <w:pStyle w:val="2"/>
        <w:keepNext w:val="0"/>
        <w:keepLines w:val="0"/>
        <w:pageBreakBefore w:val="0"/>
        <w:widowControl w:val="0"/>
        <w:kinsoku/>
        <w:wordWrap/>
        <w:overflowPunct/>
        <w:topLinePunct w:val="0"/>
        <w:autoSpaceDE/>
        <w:autoSpaceDN/>
        <w:bidi w:val="0"/>
        <w:adjustRightInd/>
        <w:snapToGrid/>
        <w:spacing w:after="0"/>
        <w:rPr>
          <w:rFonts w:hint="default" w:ascii="仿宋_GB2312" w:hAnsi="仿宋_GB2312" w:eastAsia="仿宋_GB2312" w:cs="仿宋_GB2312"/>
          <w:b w:val="0"/>
          <w:bCs/>
          <w:sz w:val="32"/>
          <w:szCs w:val="28"/>
          <w:lang w:val="en-US" w:eastAsia="zh-CN"/>
        </w:rPr>
      </w:pPr>
      <w:r>
        <w:rPr>
          <w:rFonts w:hint="eastAsia" w:ascii="仿宋_GB2312" w:hAnsi="仿宋_GB2312" w:cs="仿宋_GB2312"/>
          <w:b w:val="0"/>
          <w:bCs/>
          <w:sz w:val="32"/>
          <w:szCs w:val="28"/>
          <w:lang w:val="en-US" w:eastAsia="zh-CN"/>
        </w:rPr>
        <w:t>（4）结合智能传感器实时监测母猪外阴部温度、活动量、叫声等指标并设置预警阈值，利用人工智能算法综合各指标变化情况，实现发情智能化鉴定，更精准掌握母猪发情时间；同时通过对母猪进行同期发情处理，根据生产需求可以实现批量化输精，将原本分散、连续的配种工作，转变为集中、批次化的管理，从而极大地提高了生产效率和管理的精细化程度。</w:t>
      </w:r>
    </w:p>
    <w:p w14:paraId="0EE85679">
      <w:pPr>
        <w:pStyle w:val="2"/>
        <w:keepNext w:val="0"/>
        <w:keepLines w:val="0"/>
        <w:pageBreakBefore w:val="0"/>
        <w:widowControl w:val="0"/>
        <w:kinsoku/>
        <w:wordWrap/>
        <w:overflowPunct/>
        <w:topLinePunct w:val="0"/>
        <w:autoSpaceDE/>
        <w:autoSpaceDN/>
        <w:bidi w:val="0"/>
        <w:adjustRightInd/>
        <w:snapToGrid/>
        <w:spacing w:after="0"/>
        <w:rPr>
          <w:rFonts w:hint="eastAsia" w:ascii="仿宋_GB2312" w:hAnsi="仿宋_GB2312" w:eastAsia="仿宋_GB2312" w:cs="仿宋_GB2312"/>
          <w:b/>
          <w:bCs w:val="0"/>
          <w:sz w:val="32"/>
          <w:szCs w:val="28"/>
          <w:lang w:val="en-US" w:eastAsia="zh-CN"/>
        </w:rPr>
      </w:pPr>
      <w:r>
        <w:rPr>
          <w:rFonts w:hint="eastAsia" w:ascii="仿宋_GB2312" w:hAnsi="仿宋_GB2312" w:eastAsia="仿宋_GB2312" w:cs="仿宋_GB2312"/>
          <w:b/>
          <w:bCs w:val="0"/>
          <w:sz w:val="32"/>
          <w:szCs w:val="28"/>
          <w:lang w:val="en-US" w:eastAsia="zh-CN"/>
        </w:rPr>
        <w:t>2、主体内容</w:t>
      </w:r>
    </w:p>
    <w:p w14:paraId="691B939C">
      <w:pPr>
        <w:keepNext w:val="0"/>
        <w:keepLines w:val="0"/>
        <w:pageBreakBefore w:val="0"/>
        <w:widowControl w:val="0"/>
        <w:kinsoku/>
        <w:wordWrap/>
        <w:overflowPunct/>
        <w:topLinePunct w:val="0"/>
        <w:autoSpaceDE/>
        <w:autoSpaceDN/>
        <w:bidi w:val="0"/>
        <w:adjustRightInd/>
        <w:snapToGrid/>
        <w:ind w:left="0" w:firstLine="640" w:firstLineChars="200"/>
        <w:rPr>
          <w:rFonts w:ascii="仿宋_GB2312" w:hAnsi="宋体" w:eastAsia="仿宋_GB2312"/>
          <w:sz w:val="32"/>
          <w:szCs w:val="28"/>
        </w:rPr>
      </w:pPr>
      <w:r>
        <w:rPr>
          <w:rFonts w:hint="eastAsia" w:ascii="仿宋_GB2312" w:hAnsi="宋体" w:eastAsia="仿宋_GB2312"/>
          <w:sz w:val="32"/>
          <w:szCs w:val="28"/>
        </w:rPr>
        <w:t>标准编制工作组在对收集的资料进行整理研究之后，标准编制工作组召开了标准编制会议，对标准的整体框架结构进行了研究，并对标准的关键性内容进行了初步探讨。经过研究，标准的主体内容确定为</w:t>
      </w:r>
      <w:r>
        <w:rPr>
          <w:rFonts w:hint="eastAsia" w:ascii="仿宋_GB2312" w:hAnsi="宋体"/>
          <w:sz w:val="32"/>
          <w:szCs w:val="28"/>
          <w:lang w:eastAsia="zh-CN"/>
        </w:rPr>
        <w:t>：</w:t>
      </w:r>
      <w:r>
        <w:rPr>
          <w:rFonts w:hint="eastAsia" w:ascii="仿宋_GB2312" w:hAnsi="宋体" w:eastAsia="仿宋_GB2312"/>
          <w:sz w:val="32"/>
          <w:szCs w:val="28"/>
          <w:highlight w:val="none"/>
        </w:rPr>
        <w:t>精液采集、精液品质检查、精液稀释、分装、贮存和运输、授精操作。</w:t>
      </w:r>
    </w:p>
    <w:p w14:paraId="61FABD75">
      <w:pPr>
        <w:keepNext w:val="0"/>
        <w:keepLines w:val="0"/>
        <w:pageBreakBefore w:val="0"/>
        <w:kinsoku/>
        <w:overflowPunct/>
        <w:topLinePunct w:val="0"/>
        <w:bidi w:val="0"/>
        <w:snapToGrid/>
        <w:spacing w:line="560" w:lineRule="exact"/>
        <w:ind w:left="0" w:firstLine="643" w:firstLineChars="200"/>
        <w:rPr>
          <w:rFonts w:ascii="楷体" w:hAnsi="楷体" w:eastAsia="楷体" w:cs="仿宋_GB2312"/>
          <w:b/>
          <w:sz w:val="32"/>
          <w:szCs w:val="28"/>
        </w:rPr>
      </w:pPr>
      <w:r>
        <w:rPr>
          <w:rFonts w:hint="eastAsia" w:ascii="楷体" w:hAnsi="楷体" w:eastAsia="楷体" w:cs="仿宋_GB2312"/>
          <w:b/>
          <w:sz w:val="32"/>
          <w:szCs w:val="28"/>
        </w:rPr>
        <w:t>（四）调研及形成草案、征求意见稿</w:t>
      </w:r>
    </w:p>
    <w:p w14:paraId="6B432005">
      <w:pPr>
        <w:keepNext w:val="0"/>
        <w:keepLines w:val="0"/>
        <w:pageBreakBefore w:val="0"/>
        <w:kinsoku/>
        <w:overflowPunct/>
        <w:topLinePunct w:val="0"/>
        <w:bidi w:val="0"/>
        <w:snapToGrid/>
        <w:ind w:left="0" w:firstLine="640" w:firstLineChars="200"/>
        <w:rPr>
          <w:rFonts w:ascii="仿宋_GB2312" w:hAnsi="宋体" w:eastAsia="仿宋_GB2312"/>
          <w:sz w:val="32"/>
          <w:szCs w:val="28"/>
        </w:rPr>
      </w:pPr>
      <w:r>
        <w:rPr>
          <w:rFonts w:hint="eastAsia" w:ascii="仿宋_GB2312" w:hAnsi="宋体" w:eastAsia="仿宋_GB2312"/>
          <w:sz w:val="32"/>
          <w:szCs w:val="28"/>
        </w:rPr>
        <w:t>20</w:t>
      </w:r>
      <w:r>
        <w:rPr>
          <w:rFonts w:hint="eastAsia" w:ascii="仿宋_GB2312" w:hAnsi="宋体"/>
          <w:sz w:val="32"/>
          <w:szCs w:val="28"/>
          <w:lang w:val="en-US" w:eastAsia="zh-CN"/>
        </w:rPr>
        <w:t>25</w:t>
      </w:r>
      <w:r>
        <w:rPr>
          <w:rFonts w:hint="eastAsia" w:ascii="仿宋_GB2312" w:hAnsi="宋体" w:eastAsia="仿宋_GB2312"/>
          <w:sz w:val="32"/>
          <w:szCs w:val="28"/>
        </w:rPr>
        <w:t>年</w:t>
      </w:r>
      <w:r>
        <w:rPr>
          <w:rFonts w:hint="eastAsia" w:ascii="仿宋_GB2312" w:hAnsi="宋体"/>
          <w:sz w:val="32"/>
          <w:szCs w:val="28"/>
          <w:lang w:val="en-US" w:eastAsia="zh-CN"/>
        </w:rPr>
        <w:t>8</w:t>
      </w:r>
      <w:r>
        <w:rPr>
          <w:rFonts w:hint="eastAsia" w:ascii="仿宋_GB2312" w:hAnsi="宋体" w:eastAsia="仿宋_GB2312"/>
          <w:sz w:val="32"/>
          <w:szCs w:val="28"/>
        </w:rPr>
        <w:t>月，标准起草工作小组进行了广泛调研工作，查阅了大量的国内外文献资料，对</w:t>
      </w:r>
      <w:r>
        <w:rPr>
          <w:rFonts w:hint="eastAsia" w:ascii="仿宋_GB2312" w:hAnsi="宋体"/>
          <w:sz w:val="32"/>
          <w:szCs w:val="28"/>
          <w:lang w:val="en-US" w:eastAsia="zh-CN"/>
        </w:rPr>
        <w:t>猪人工授精技术</w:t>
      </w:r>
      <w:r>
        <w:rPr>
          <w:rFonts w:hint="eastAsia" w:ascii="仿宋_GB2312" w:hAnsi="宋体" w:eastAsia="仿宋_GB2312"/>
          <w:sz w:val="32"/>
          <w:szCs w:val="28"/>
        </w:rPr>
        <w:t>的前人研究成果进行系统总结。</w:t>
      </w:r>
      <w:r>
        <w:rPr>
          <w:rFonts w:hint="eastAsia" w:ascii="仿宋_GB2312" w:hAnsi="宋体"/>
          <w:sz w:val="32"/>
          <w:szCs w:val="28"/>
          <w:lang w:val="en-US" w:eastAsia="zh-CN"/>
        </w:rPr>
        <w:t>编制组充分对现有行业标准《NY/T 636-2021  猪人工授精技术规程》以及相关标准的技术特点进行分析，总结本标准与现有标准技术差异，</w:t>
      </w:r>
      <w:r>
        <w:rPr>
          <w:rFonts w:hint="eastAsia" w:ascii="仿宋_GB2312" w:hAnsi="宋体" w:eastAsia="仿宋_GB2312"/>
          <w:sz w:val="32"/>
          <w:szCs w:val="28"/>
        </w:rPr>
        <w:t>形成了标准的基本构架，对主要内容进行了讨论并对项目的工作进行了部署和安排。</w:t>
      </w:r>
    </w:p>
    <w:p w14:paraId="09305CF3">
      <w:pPr>
        <w:keepNext w:val="0"/>
        <w:keepLines w:val="0"/>
        <w:pageBreakBefore w:val="0"/>
        <w:kinsoku/>
        <w:overflowPunct/>
        <w:topLinePunct w:val="0"/>
        <w:bidi w:val="0"/>
        <w:snapToGrid/>
        <w:ind w:left="0" w:firstLine="640" w:firstLineChars="200"/>
        <w:rPr>
          <w:rFonts w:ascii="仿宋_GB2312" w:hAnsi="宋体" w:eastAsia="仿宋_GB2312"/>
          <w:sz w:val="32"/>
          <w:szCs w:val="28"/>
        </w:rPr>
      </w:pPr>
      <w:r>
        <w:rPr>
          <w:rFonts w:hint="eastAsia" w:ascii="仿宋_GB2312" w:hAnsi="宋体" w:eastAsia="仿宋_GB2312"/>
          <w:sz w:val="32"/>
          <w:szCs w:val="28"/>
        </w:rPr>
        <w:t>20</w:t>
      </w:r>
      <w:r>
        <w:rPr>
          <w:rFonts w:hint="eastAsia" w:ascii="仿宋_GB2312" w:hAnsi="宋体"/>
          <w:sz w:val="32"/>
          <w:szCs w:val="28"/>
          <w:lang w:val="en-US" w:eastAsia="zh-CN"/>
        </w:rPr>
        <w:t>25</w:t>
      </w:r>
      <w:r>
        <w:rPr>
          <w:rFonts w:hint="eastAsia" w:ascii="仿宋_GB2312" w:hAnsi="宋体" w:eastAsia="仿宋_GB2312"/>
          <w:sz w:val="32"/>
          <w:szCs w:val="28"/>
        </w:rPr>
        <w:t>年</w:t>
      </w:r>
      <w:r>
        <w:rPr>
          <w:rFonts w:ascii="仿宋_GB2312" w:hAnsi="宋体" w:eastAsia="仿宋_GB2312"/>
          <w:sz w:val="32"/>
          <w:szCs w:val="28"/>
        </w:rPr>
        <w:t>9</w:t>
      </w:r>
      <w:r>
        <w:rPr>
          <w:rFonts w:hint="eastAsia" w:ascii="仿宋_GB2312" w:hAnsi="宋体" w:eastAsia="仿宋_GB2312"/>
          <w:sz w:val="32"/>
          <w:szCs w:val="28"/>
        </w:rPr>
        <w:t>月，在前期工作的基础之上，通过理清逻辑脉络，整合已有的参考资料中有关</w:t>
      </w:r>
      <w:r>
        <w:rPr>
          <w:rFonts w:hint="eastAsia" w:ascii="仿宋_GB2312" w:hAnsi="宋体"/>
          <w:sz w:val="32"/>
          <w:szCs w:val="28"/>
          <w:lang w:val="en-US" w:eastAsia="zh-CN"/>
        </w:rPr>
        <w:t>猪人工授精技术</w:t>
      </w:r>
      <w:r>
        <w:rPr>
          <w:rFonts w:hint="eastAsia" w:ascii="仿宋_GB2312" w:hAnsi="宋体" w:eastAsia="仿宋_GB2312"/>
          <w:sz w:val="32"/>
          <w:szCs w:val="28"/>
        </w:rPr>
        <w:t>要求</w:t>
      </w:r>
      <w:r>
        <w:rPr>
          <w:rFonts w:hint="eastAsia" w:ascii="仿宋_GB2312" w:hAnsi="宋体"/>
          <w:sz w:val="32"/>
          <w:szCs w:val="32"/>
          <w:highlight w:val="none"/>
          <w:lang w:val="en-US" w:eastAsia="zh-CN"/>
        </w:rPr>
        <w:t>以及实际生产操作要求</w:t>
      </w:r>
      <w:r>
        <w:rPr>
          <w:rFonts w:hint="eastAsia" w:ascii="仿宋_GB2312" w:hAnsi="宋体" w:eastAsia="仿宋_GB2312"/>
          <w:sz w:val="32"/>
          <w:szCs w:val="28"/>
        </w:rPr>
        <w:t>，</w:t>
      </w:r>
      <w:r>
        <w:rPr>
          <w:rFonts w:hint="eastAsia" w:ascii="仿宋_GB2312" w:hAnsi="宋体"/>
          <w:sz w:val="32"/>
          <w:szCs w:val="28"/>
          <w:lang w:val="en-US" w:eastAsia="zh-CN"/>
        </w:rPr>
        <w:t>结合广西壮族自治区畜禽品种改良站起草的已废止地标</w:t>
      </w:r>
      <w:r>
        <w:rPr>
          <w:rFonts w:hint="eastAsia" w:ascii="仿宋_GB2312" w:hAnsi="宋体"/>
          <w:sz w:val="32"/>
          <w:szCs w:val="32"/>
          <w:highlight w:val="none"/>
          <w:lang w:val="zh-CN"/>
        </w:rPr>
        <w:t>《DB45/T 529—2008  猪人工授精技术操作规程》</w:t>
      </w:r>
      <w:r>
        <w:rPr>
          <w:rFonts w:hint="eastAsia" w:ascii="仿宋_GB2312" w:hAnsi="宋体"/>
          <w:sz w:val="32"/>
          <w:szCs w:val="32"/>
          <w:highlight w:val="none"/>
          <w:lang w:val="en-US" w:eastAsia="zh-CN"/>
        </w:rPr>
        <w:t>基础上，引入自动采精、冷冻精液制作、智能化发情鉴定以及批次化输精等技术的基础上</w:t>
      </w:r>
      <w:r>
        <w:rPr>
          <w:rFonts w:hint="eastAsia" w:ascii="仿宋_GB2312" w:hAnsi="宋体" w:eastAsia="仿宋_GB2312"/>
          <w:sz w:val="32"/>
          <w:szCs w:val="28"/>
        </w:rPr>
        <w:t>按照简化、统一等原则编制完成团体标准《猪人工授精技术规程》（草案）。</w:t>
      </w:r>
    </w:p>
    <w:p w14:paraId="1F6A96F1">
      <w:pPr>
        <w:keepNext w:val="0"/>
        <w:keepLines w:val="0"/>
        <w:pageBreakBefore w:val="0"/>
        <w:kinsoku/>
        <w:overflowPunct/>
        <w:topLinePunct w:val="0"/>
        <w:bidi w:val="0"/>
        <w:snapToGrid/>
        <w:ind w:left="0" w:firstLine="640" w:firstLineChars="200"/>
        <w:rPr>
          <w:rFonts w:hint="eastAsia" w:ascii="仿宋_GB2312" w:hAnsi="宋体" w:eastAsia="仿宋_GB2312"/>
          <w:sz w:val="32"/>
          <w:szCs w:val="28"/>
        </w:rPr>
      </w:pPr>
      <w:r>
        <w:rPr>
          <w:rFonts w:hint="eastAsia" w:ascii="仿宋_GB2312" w:hAnsi="宋体" w:eastAsia="仿宋_GB2312"/>
          <w:sz w:val="32"/>
          <w:szCs w:val="28"/>
        </w:rPr>
        <w:t>20</w:t>
      </w:r>
      <w:r>
        <w:rPr>
          <w:rFonts w:hint="eastAsia" w:ascii="仿宋_GB2312" w:hAnsi="宋体"/>
          <w:sz w:val="32"/>
          <w:szCs w:val="28"/>
          <w:lang w:val="en-US" w:eastAsia="zh-CN"/>
        </w:rPr>
        <w:t>25</w:t>
      </w:r>
      <w:r>
        <w:rPr>
          <w:rFonts w:hint="eastAsia" w:ascii="仿宋_GB2312" w:hAnsi="宋体" w:eastAsia="仿宋_GB2312"/>
          <w:sz w:val="32"/>
          <w:szCs w:val="28"/>
        </w:rPr>
        <w:t>年9月</w:t>
      </w:r>
      <w:r>
        <w:rPr>
          <w:rFonts w:hint="eastAsia" w:ascii="仿宋_GB2312" w:hAnsi="宋体"/>
          <w:sz w:val="32"/>
          <w:szCs w:val="28"/>
          <w:lang w:val="en-US" w:eastAsia="zh-CN"/>
        </w:rPr>
        <w:t>19日</w:t>
      </w:r>
      <w:r>
        <w:rPr>
          <w:rFonts w:hint="eastAsia" w:ascii="仿宋_GB2312" w:hAnsi="宋体" w:eastAsia="仿宋_GB2312"/>
          <w:sz w:val="32"/>
          <w:szCs w:val="28"/>
        </w:rPr>
        <w:t>，标准起草工作组到</w:t>
      </w:r>
      <w:r>
        <w:rPr>
          <w:rFonts w:ascii="仿宋_GB2312" w:hAnsi="宋体" w:eastAsia="仿宋_GB2312"/>
          <w:sz w:val="32"/>
          <w:szCs w:val="28"/>
        </w:rPr>
        <w:t>相关单位和科研机构进行调研，开展试验验证</w:t>
      </w:r>
      <w:r>
        <w:rPr>
          <w:rFonts w:hint="eastAsia" w:ascii="仿宋_GB2312" w:hAnsi="宋体" w:eastAsia="仿宋_GB2312"/>
          <w:sz w:val="32"/>
          <w:szCs w:val="28"/>
        </w:rPr>
        <w:t>。并实际征求意见，通过收集反馈了大量意见，标准编制工作组多次召开会议，对标准草案进行了反复修改和研究讨论。进一步讨论完善标准草案，形成团体标准《猪人工授精技术规程》（征求意见稿）和（征求意见稿）编制说明。</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96"/>
        <w:gridCol w:w="4578"/>
      </w:tblGrid>
      <w:tr w14:paraId="6DA40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96" w:type="dxa"/>
          </w:tcPr>
          <w:p w14:paraId="3C2E00EA">
            <w:pPr>
              <w:pStyle w:val="2"/>
              <w:ind w:left="0" w:leftChars="0" w:firstLine="0" w:firstLineChars="0"/>
              <w:jc w:val="center"/>
              <w:rPr>
                <w:rFonts w:hint="eastAsia" w:eastAsia="仿宋_GB2312"/>
                <w:vertAlign w:val="baseline"/>
                <w:lang w:eastAsia="zh-CN"/>
              </w:rPr>
            </w:pPr>
            <w:r>
              <w:rPr>
                <w:rFonts w:hint="eastAsia" w:eastAsia="仿宋_GB2312"/>
                <w:vertAlign w:val="baseline"/>
                <w:lang w:eastAsia="zh-CN"/>
              </w:rPr>
              <w:drawing>
                <wp:inline distT="0" distB="0" distL="114300" distR="114300">
                  <wp:extent cx="2773680" cy="2080260"/>
                  <wp:effectExtent l="0" t="0" r="7620" b="15240"/>
                  <wp:docPr id="3" name="图片 3" descr="0f4ef2d337ac43ee429df9061a46cb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0f4ef2d337ac43ee429df9061a46cb7f"/>
                          <pic:cNvPicPr>
                            <a:picLocks noChangeAspect="1"/>
                          </pic:cNvPicPr>
                        </pic:nvPicPr>
                        <pic:blipFill>
                          <a:blip r:embed="rId7"/>
                          <a:stretch>
                            <a:fillRect/>
                          </a:stretch>
                        </pic:blipFill>
                        <pic:spPr>
                          <a:xfrm>
                            <a:off x="0" y="0"/>
                            <a:ext cx="2773680" cy="2080260"/>
                          </a:xfrm>
                          <a:prstGeom prst="rect">
                            <a:avLst/>
                          </a:prstGeom>
                        </pic:spPr>
                      </pic:pic>
                    </a:graphicData>
                  </a:graphic>
                </wp:inline>
              </w:drawing>
            </w:r>
          </w:p>
        </w:tc>
        <w:tc>
          <w:tcPr>
            <w:tcW w:w="4578" w:type="dxa"/>
          </w:tcPr>
          <w:p w14:paraId="113FE64B">
            <w:pPr>
              <w:pStyle w:val="2"/>
              <w:ind w:left="0" w:leftChars="0" w:firstLine="0" w:firstLineChars="0"/>
              <w:jc w:val="center"/>
              <w:rPr>
                <w:rFonts w:hint="eastAsia" w:eastAsia="仿宋_GB2312"/>
                <w:vertAlign w:val="baseline"/>
                <w:lang w:eastAsia="zh-CN"/>
              </w:rPr>
            </w:pPr>
            <w:r>
              <w:rPr>
                <w:rFonts w:hint="eastAsia" w:eastAsia="仿宋_GB2312"/>
                <w:vertAlign w:val="baseline"/>
                <w:lang w:eastAsia="zh-CN"/>
              </w:rPr>
              <w:drawing>
                <wp:inline distT="0" distB="0" distL="114300" distR="114300">
                  <wp:extent cx="2734310" cy="2050415"/>
                  <wp:effectExtent l="0" t="0" r="8890" b="6985"/>
                  <wp:docPr id="5" name="图片 5" descr="8399ac7fb5815020fca33b39dda58b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8399ac7fb5815020fca33b39dda58bd3"/>
                          <pic:cNvPicPr>
                            <a:picLocks noChangeAspect="1"/>
                          </pic:cNvPicPr>
                        </pic:nvPicPr>
                        <pic:blipFill>
                          <a:blip r:embed="rId8"/>
                          <a:stretch>
                            <a:fillRect/>
                          </a:stretch>
                        </pic:blipFill>
                        <pic:spPr>
                          <a:xfrm>
                            <a:off x="0" y="0"/>
                            <a:ext cx="2734310" cy="2050415"/>
                          </a:xfrm>
                          <a:prstGeom prst="rect">
                            <a:avLst/>
                          </a:prstGeom>
                        </pic:spPr>
                      </pic:pic>
                    </a:graphicData>
                  </a:graphic>
                </wp:inline>
              </w:drawing>
            </w:r>
          </w:p>
        </w:tc>
      </w:tr>
      <w:tr w14:paraId="1A04E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74" w:type="dxa"/>
            <w:gridSpan w:val="2"/>
          </w:tcPr>
          <w:p w14:paraId="6E7B39D8">
            <w:pPr>
              <w:pStyle w:val="2"/>
              <w:ind w:left="0" w:leftChars="0" w:firstLine="0" w:firstLineChars="0"/>
              <w:jc w:val="center"/>
              <w:rPr>
                <w:rFonts w:hint="default" w:eastAsia="仿宋_GB2312"/>
                <w:vertAlign w:val="baseline"/>
                <w:lang w:val="en-US" w:eastAsia="zh-CN"/>
              </w:rPr>
            </w:pPr>
            <w:r>
              <w:rPr>
                <w:rFonts w:hint="eastAsia"/>
                <w:sz w:val="28"/>
                <w:szCs w:val="28"/>
                <w:vertAlign w:val="baseline"/>
                <w:lang w:val="en-US" w:eastAsia="zh-CN"/>
              </w:rPr>
              <w:t>图1 座谈会现场</w:t>
            </w:r>
          </w:p>
        </w:tc>
      </w:tr>
    </w:tbl>
    <w:p w14:paraId="3B832357">
      <w:pPr>
        <w:keepNext w:val="0"/>
        <w:keepLines w:val="0"/>
        <w:pageBreakBefore w:val="0"/>
        <w:kinsoku/>
        <w:overflowPunct/>
        <w:topLinePunct w:val="0"/>
        <w:autoSpaceDE w:val="0"/>
        <w:autoSpaceDN w:val="0"/>
        <w:bidi w:val="0"/>
        <w:adjustRightInd w:val="0"/>
        <w:snapToGrid/>
        <w:ind w:left="0"/>
        <w:jc w:val="left"/>
        <w:rPr>
          <w:rFonts w:eastAsia="黑体"/>
          <w:bCs/>
          <w:sz w:val="32"/>
          <w:szCs w:val="32"/>
        </w:rPr>
      </w:pPr>
      <w:bookmarkStart w:id="0" w:name="_Toc526940083"/>
      <w:r>
        <w:rPr>
          <w:rFonts w:eastAsia="黑体"/>
          <w:bCs/>
          <w:sz w:val="32"/>
          <w:szCs w:val="32"/>
        </w:rPr>
        <w:t>四、</w:t>
      </w:r>
      <w:bookmarkEnd w:id="0"/>
      <w:r>
        <w:rPr>
          <w:rFonts w:eastAsia="黑体"/>
          <w:bCs/>
          <w:sz w:val="32"/>
          <w:szCs w:val="32"/>
        </w:rPr>
        <w:t>制定标准的原则和依据，与现行法律、法规的关系，与有关国家标准、行业标准的协调情况</w:t>
      </w:r>
    </w:p>
    <w:p w14:paraId="30EFA250">
      <w:pPr>
        <w:pStyle w:val="12"/>
        <w:keepNext w:val="0"/>
        <w:keepLines w:val="0"/>
        <w:pageBreakBefore w:val="0"/>
        <w:kinsoku/>
        <w:overflowPunct/>
        <w:topLinePunct w:val="0"/>
        <w:bidi w:val="0"/>
        <w:snapToGrid/>
        <w:spacing w:line="560" w:lineRule="exact"/>
        <w:ind w:left="0" w:firstLine="0" w:firstLineChars="0"/>
        <w:outlineLvl w:val="1"/>
        <w:rPr>
          <w:rFonts w:ascii="Times New Roman" w:eastAsia="仿宋"/>
          <w:b/>
          <w:bCs/>
          <w:sz w:val="32"/>
          <w:szCs w:val="32"/>
        </w:rPr>
      </w:pPr>
      <w:r>
        <w:rPr>
          <w:rFonts w:ascii="Times New Roman" w:eastAsia="仿宋"/>
          <w:b/>
          <w:bCs/>
          <w:sz w:val="32"/>
          <w:szCs w:val="32"/>
        </w:rPr>
        <w:t>（一）编制原则</w:t>
      </w:r>
    </w:p>
    <w:p w14:paraId="7432AB81">
      <w:pPr>
        <w:keepNext w:val="0"/>
        <w:keepLines w:val="0"/>
        <w:pageBreakBefore w:val="0"/>
        <w:tabs>
          <w:tab w:val="center" w:pos="4201"/>
          <w:tab w:val="right" w:leader="dot" w:pos="9298"/>
        </w:tabs>
        <w:kinsoku/>
        <w:overflowPunct/>
        <w:topLinePunct w:val="0"/>
        <w:autoSpaceDE w:val="0"/>
        <w:autoSpaceDN w:val="0"/>
        <w:bidi w:val="0"/>
        <w:snapToGrid/>
        <w:ind w:left="0" w:firstLine="643"/>
        <w:outlineLvl w:val="2"/>
        <w:rPr>
          <w:rFonts w:eastAsia="仿宋"/>
          <w:b/>
          <w:bCs/>
          <w:kern w:val="0"/>
          <w:sz w:val="32"/>
          <w:szCs w:val="32"/>
        </w:rPr>
      </w:pPr>
      <w:r>
        <w:rPr>
          <w:rFonts w:eastAsia="仿宋"/>
          <w:b/>
          <w:bCs/>
          <w:kern w:val="0"/>
          <w:sz w:val="32"/>
          <w:szCs w:val="32"/>
        </w:rPr>
        <w:t>1、实用性原则</w:t>
      </w:r>
    </w:p>
    <w:p w14:paraId="096AD80F">
      <w:pPr>
        <w:keepNext w:val="0"/>
        <w:keepLines w:val="0"/>
        <w:pageBreakBefore w:val="0"/>
        <w:kinsoku/>
        <w:overflowPunct/>
        <w:topLinePunct w:val="0"/>
        <w:bidi w:val="0"/>
        <w:snapToGrid/>
        <w:ind w:left="0" w:firstLine="640" w:firstLineChars="200"/>
        <w:rPr>
          <w:rFonts w:ascii="仿宋_GB2312" w:hAnsi="宋体" w:eastAsia="仿宋_GB2312"/>
          <w:sz w:val="32"/>
          <w:szCs w:val="28"/>
        </w:rPr>
      </w:pPr>
      <w:r>
        <w:rPr>
          <w:rFonts w:hint="eastAsia" w:ascii="仿宋_GB2312" w:hAnsi="宋体" w:eastAsia="仿宋_GB2312"/>
          <w:sz w:val="32"/>
          <w:szCs w:val="28"/>
        </w:rPr>
        <w:t>本文件是在充分收集相关资料和文献，分析</w:t>
      </w:r>
      <w:r>
        <w:rPr>
          <w:rFonts w:hint="eastAsia" w:ascii="仿宋_GB2312" w:hAnsi="宋体"/>
          <w:sz w:val="32"/>
          <w:szCs w:val="28"/>
          <w:lang w:val="en-US" w:eastAsia="zh-CN"/>
        </w:rPr>
        <w:t>猪人工授精</w:t>
      </w:r>
      <w:r>
        <w:rPr>
          <w:rFonts w:hint="eastAsia" w:ascii="仿宋_GB2312" w:hAnsi="宋体" w:eastAsia="仿宋_GB2312"/>
          <w:sz w:val="32"/>
          <w:szCs w:val="28"/>
        </w:rPr>
        <w:t>当前现状，在现有相关</w:t>
      </w:r>
      <w:r>
        <w:rPr>
          <w:rFonts w:hint="eastAsia" w:ascii="仿宋_GB2312" w:hAnsi="宋体"/>
          <w:sz w:val="32"/>
          <w:szCs w:val="28"/>
          <w:lang w:val="en-US" w:eastAsia="zh-CN"/>
        </w:rPr>
        <w:t>猪人工授精技术</w:t>
      </w:r>
      <w:r>
        <w:rPr>
          <w:rFonts w:hint="eastAsia" w:ascii="仿宋_GB2312" w:hAnsi="宋体" w:eastAsia="仿宋_GB2312"/>
          <w:sz w:val="32"/>
          <w:szCs w:val="28"/>
        </w:rPr>
        <w:t>要求的基础上，结合编制单位</w:t>
      </w:r>
      <w:r>
        <w:rPr>
          <w:rFonts w:ascii="仿宋_GB2312" w:hAnsi="宋体" w:eastAsia="仿宋_GB2312"/>
          <w:sz w:val="32"/>
          <w:szCs w:val="28"/>
        </w:rPr>
        <w:t>多年</w:t>
      </w:r>
      <w:r>
        <w:rPr>
          <w:rFonts w:hint="eastAsia" w:ascii="仿宋_GB2312" w:hAnsi="宋体" w:eastAsia="仿宋_GB2312"/>
          <w:sz w:val="32"/>
          <w:szCs w:val="28"/>
        </w:rPr>
        <w:t>相关经验而总结起草的，符合当前</w:t>
      </w:r>
      <w:r>
        <w:rPr>
          <w:rFonts w:hint="eastAsia" w:ascii="仿宋_GB2312" w:hAnsi="宋体"/>
          <w:sz w:val="32"/>
          <w:szCs w:val="28"/>
          <w:lang w:val="en-US" w:eastAsia="zh-CN"/>
        </w:rPr>
        <w:t>猪人工授精技术</w:t>
      </w:r>
      <w:r>
        <w:rPr>
          <w:rFonts w:hint="eastAsia" w:ascii="仿宋_GB2312" w:hAnsi="宋体" w:eastAsia="仿宋_GB2312"/>
          <w:sz w:val="32"/>
          <w:szCs w:val="28"/>
        </w:rPr>
        <w:t>发展的方向，具有较强的实用性和可操作性。</w:t>
      </w:r>
    </w:p>
    <w:p w14:paraId="62EF7D35">
      <w:pPr>
        <w:keepNext w:val="0"/>
        <w:keepLines w:val="0"/>
        <w:pageBreakBefore w:val="0"/>
        <w:tabs>
          <w:tab w:val="center" w:pos="4201"/>
          <w:tab w:val="right" w:leader="dot" w:pos="9298"/>
        </w:tabs>
        <w:kinsoku/>
        <w:overflowPunct/>
        <w:topLinePunct w:val="0"/>
        <w:autoSpaceDE w:val="0"/>
        <w:autoSpaceDN w:val="0"/>
        <w:bidi w:val="0"/>
        <w:snapToGrid/>
        <w:ind w:left="0" w:firstLine="643"/>
        <w:outlineLvl w:val="2"/>
        <w:rPr>
          <w:rFonts w:eastAsia="仿宋"/>
          <w:b/>
          <w:bCs/>
          <w:kern w:val="0"/>
          <w:sz w:val="32"/>
          <w:szCs w:val="32"/>
        </w:rPr>
      </w:pPr>
      <w:r>
        <w:rPr>
          <w:rFonts w:hint="eastAsia" w:eastAsia="仿宋"/>
          <w:b/>
          <w:bCs/>
          <w:kern w:val="0"/>
          <w:sz w:val="32"/>
          <w:szCs w:val="32"/>
        </w:rPr>
        <w:t>2、协调性原则</w:t>
      </w:r>
    </w:p>
    <w:p w14:paraId="18A33837">
      <w:pPr>
        <w:keepNext w:val="0"/>
        <w:keepLines w:val="0"/>
        <w:pageBreakBefore w:val="0"/>
        <w:kinsoku/>
        <w:overflowPunct/>
        <w:topLinePunct w:val="0"/>
        <w:bidi w:val="0"/>
        <w:snapToGrid/>
        <w:ind w:left="0" w:firstLine="640" w:firstLineChars="200"/>
        <w:rPr>
          <w:rFonts w:ascii="仿宋_GB2312" w:hAnsi="宋体" w:eastAsia="仿宋_GB2312"/>
          <w:sz w:val="32"/>
          <w:szCs w:val="28"/>
        </w:rPr>
      </w:pPr>
      <w:r>
        <w:rPr>
          <w:rFonts w:hint="eastAsia" w:ascii="仿宋_GB2312" w:hAnsi="宋体" w:eastAsia="仿宋_GB2312"/>
          <w:sz w:val="32"/>
          <w:szCs w:val="28"/>
        </w:rPr>
        <w:t>本文件编写过程中注意了与</w:t>
      </w:r>
      <w:r>
        <w:rPr>
          <w:rFonts w:hint="eastAsia" w:ascii="仿宋_GB2312" w:hAnsi="宋体"/>
          <w:sz w:val="32"/>
          <w:szCs w:val="28"/>
          <w:lang w:val="en-US" w:eastAsia="zh-CN"/>
        </w:rPr>
        <w:t>猪人工授精</w:t>
      </w:r>
      <w:r>
        <w:rPr>
          <w:rFonts w:hint="eastAsia" w:ascii="仿宋_GB2312" w:hAnsi="宋体" w:eastAsia="仿宋_GB2312"/>
          <w:sz w:val="32"/>
          <w:szCs w:val="28"/>
        </w:rPr>
        <w:t>相关法律法规的协调问题，在内容上与现行法律法规、标准协调一致。</w:t>
      </w:r>
    </w:p>
    <w:p w14:paraId="48B06747">
      <w:pPr>
        <w:keepNext w:val="0"/>
        <w:keepLines w:val="0"/>
        <w:pageBreakBefore w:val="0"/>
        <w:tabs>
          <w:tab w:val="center" w:pos="4201"/>
          <w:tab w:val="right" w:leader="dot" w:pos="9298"/>
        </w:tabs>
        <w:kinsoku/>
        <w:overflowPunct/>
        <w:topLinePunct w:val="0"/>
        <w:autoSpaceDE w:val="0"/>
        <w:autoSpaceDN w:val="0"/>
        <w:bidi w:val="0"/>
        <w:snapToGrid/>
        <w:ind w:left="0" w:firstLine="643"/>
        <w:outlineLvl w:val="2"/>
        <w:rPr>
          <w:rFonts w:eastAsia="仿宋"/>
          <w:b/>
          <w:bCs/>
          <w:kern w:val="0"/>
          <w:sz w:val="32"/>
          <w:szCs w:val="32"/>
        </w:rPr>
      </w:pPr>
      <w:r>
        <w:rPr>
          <w:rFonts w:hint="eastAsia" w:eastAsia="仿宋"/>
          <w:b/>
          <w:bCs/>
          <w:kern w:val="0"/>
          <w:sz w:val="32"/>
          <w:szCs w:val="32"/>
        </w:rPr>
        <w:t>3、规范性原则</w:t>
      </w:r>
    </w:p>
    <w:p w14:paraId="3276EBB5">
      <w:pPr>
        <w:keepNext w:val="0"/>
        <w:keepLines w:val="0"/>
        <w:pageBreakBefore w:val="0"/>
        <w:kinsoku/>
        <w:overflowPunct/>
        <w:topLinePunct w:val="0"/>
        <w:bidi w:val="0"/>
        <w:snapToGrid/>
        <w:ind w:left="0" w:firstLine="640" w:firstLineChars="200"/>
        <w:rPr>
          <w:rFonts w:ascii="仿宋_GB2312" w:hAnsi="宋体" w:eastAsia="仿宋_GB2312"/>
          <w:sz w:val="32"/>
          <w:szCs w:val="28"/>
        </w:rPr>
      </w:pPr>
      <w:r>
        <w:rPr>
          <w:rFonts w:hint="eastAsia" w:ascii="仿宋_GB2312" w:hAnsi="宋体" w:eastAsia="仿宋_GB2312"/>
          <w:sz w:val="32"/>
          <w:szCs w:val="28"/>
        </w:rPr>
        <w:t>本文件严格参照GB/T 1.1—2020《标准化工作导则  第1部分：标准化文件的结构和起草规则》编写本标准的内容，保证标准的编写质量。</w:t>
      </w:r>
    </w:p>
    <w:p w14:paraId="173D3B39">
      <w:pPr>
        <w:keepNext w:val="0"/>
        <w:keepLines w:val="0"/>
        <w:pageBreakBefore w:val="0"/>
        <w:tabs>
          <w:tab w:val="center" w:pos="4201"/>
          <w:tab w:val="right" w:leader="dot" w:pos="9298"/>
        </w:tabs>
        <w:kinsoku/>
        <w:overflowPunct/>
        <w:topLinePunct w:val="0"/>
        <w:autoSpaceDE w:val="0"/>
        <w:autoSpaceDN w:val="0"/>
        <w:bidi w:val="0"/>
        <w:snapToGrid/>
        <w:ind w:left="0" w:firstLine="643"/>
        <w:outlineLvl w:val="2"/>
        <w:rPr>
          <w:rFonts w:eastAsia="仿宋"/>
          <w:b/>
          <w:bCs/>
          <w:kern w:val="0"/>
          <w:sz w:val="32"/>
          <w:szCs w:val="32"/>
        </w:rPr>
      </w:pPr>
      <w:r>
        <w:rPr>
          <w:rFonts w:hint="eastAsia" w:eastAsia="仿宋"/>
          <w:b/>
          <w:bCs/>
          <w:kern w:val="0"/>
          <w:sz w:val="32"/>
          <w:szCs w:val="32"/>
        </w:rPr>
        <w:t>4、前瞻性原则</w:t>
      </w:r>
    </w:p>
    <w:p w14:paraId="2315C397">
      <w:pPr>
        <w:keepNext w:val="0"/>
        <w:keepLines w:val="0"/>
        <w:pageBreakBefore w:val="0"/>
        <w:kinsoku/>
        <w:overflowPunct/>
        <w:topLinePunct w:val="0"/>
        <w:bidi w:val="0"/>
        <w:snapToGrid/>
        <w:ind w:left="0" w:firstLine="640" w:firstLineChars="200"/>
        <w:rPr>
          <w:rFonts w:ascii="仿宋_GB2312" w:hAnsi="宋体" w:eastAsia="仿宋_GB2312"/>
          <w:sz w:val="32"/>
          <w:szCs w:val="28"/>
        </w:rPr>
      </w:pPr>
      <w:r>
        <w:rPr>
          <w:rFonts w:hint="eastAsia" w:ascii="仿宋_GB2312" w:hAnsi="宋体" w:eastAsia="仿宋_GB2312"/>
          <w:sz w:val="32"/>
          <w:szCs w:val="28"/>
        </w:rPr>
        <w:t>本文件在兼顾当前区内</w:t>
      </w:r>
      <w:r>
        <w:rPr>
          <w:rFonts w:hint="eastAsia" w:ascii="仿宋_GB2312" w:hAnsi="宋体"/>
          <w:sz w:val="32"/>
          <w:szCs w:val="28"/>
          <w:lang w:val="en-US" w:eastAsia="zh-CN"/>
        </w:rPr>
        <w:t>猪人工授精技术</w:t>
      </w:r>
      <w:r>
        <w:rPr>
          <w:rFonts w:hint="eastAsia" w:ascii="仿宋_GB2312" w:hAnsi="宋体" w:eastAsia="仿宋_GB2312"/>
          <w:sz w:val="32"/>
          <w:szCs w:val="28"/>
        </w:rPr>
        <w:t>现实情况的同时，还考虑到了</w:t>
      </w:r>
      <w:r>
        <w:rPr>
          <w:rFonts w:hint="eastAsia" w:ascii="仿宋_GB2312" w:hAnsi="宋体"/>
          <w:sz w:val="32"/>
          <w:szCs w:val="28"/>
          <w:lang w:val="en-US" w:eastAsia="zh-CN"/>
        </w:rPr>
        <w:t>猪人工授精技术</w:t>
      </w:r>
      <w:r>
        <w:rPr>
          <w:rFonts w:hint="eastAsia" w:ascii="仿宋_GB2312" w:hAnsi="宋体" w:eastAsia="仿宋_GB2312"/>
          <w:sz w:val="32"/>
          <w:szCs w:val="28"/>
        </w:rPr>
        <w:t>快速发展的趋势和需要，在标准中体现了个别特色性、前瞻性和先进性条款，作为对</w:t>
      </w:r>
      <w:r>
        <w:rPr>
          <w:rFonts w:hint="eastAsia" w:ascii="仿宋_GB2312" w:hAnsi="宋体"/>
          <w:sz w:val="32"/>
          <w:szCs w:val="28"/>
          <w:lang w:val="en-US" w:eastAsia="zh-CN"/>
        </w:rPr>
        <w:t>猪人工授精技术</w:t>
      </w:r>
      <w:r>
        <w:rPr>
          <w:rFonts w:hint="eastAsia" w:ascii="仿宋_GB2312" w:hAnsi="宋体" w:eastAsia="仿宋_GB2312"/>
          <w:sz w:val="32"/>
          <w:szCs w:val="28"/>
        </w:rPr>
        <w:t>发展的指导。</w:t>
      </w:r>
    </w:p>
    <w:p w14:paraId="323DB155">
      <w:pPr>
        <w:keepNext w:val="0"/>
        <w:keepLines w:val="0"/>
        <w:pageBreakBefore w:val="0"/>
        <w:widowControl/>
        <w:tabs>
          <w:tab w:val="center" w:pos="4201"/>
          <w:tab w:val="right" w:leader="dot" w:pos="9298"/>
        </w:tabs>
        <w:kinsoku/>
        <w:overflowPunct/>
        <w:topLinePunct w:val="0"/>
        <w:autoSpaceDE w:val="0"/>
        <w:autoSpaceDN w:val="0"/>
        <w:bidi w:val="0"/>
        <w:snapToGrid/>
        <w:spacing w:line="560" w:lineRule="exact"/>
        <w:ind w:left="0"/>
        <w:outlineLvl w:val="1"/>
        <w:rPr>
          <w:rFonts w:eastAsia="仿宋"/>
          <w:b/>
          <w:bCs/>
          <w:kern w:val="0"/>
          <w:sz w:val="32"/>
          <w:szCs w:val="32"/>
        </w:rPr>
      </w:pPr>
      <w:r>
        <w:rPr>
          <w:rFonts w:eastAsia="仿宋"/>
          <w:b/>
          <w:bCs/>
          <w:kern w:val="0"/>
          <w:sz w:val="32"/>
          <w:szCs w:val="32"/>
        </w:rPr>
        <w:t>（二）编制依据</w:t>
      </w:r>
    </w:p>
    <w:p w14:paraId="03C8CA65">
      <w:pPr>
        <w:keepNext w:val="0"/>
        <w:keepLines w:val="0"/>
        <w:pageBreakBefore w:val="0"/>
        <w:kinsoku/>
        <w:overflowPunct/>
        <w:topLinePunct w:val="0"/>
        <w:bidi w:val="0"/>
        <w:snapToGrid/>
        <w:ind w:left="0" w:firstLine="640" w:firstLineChars="200"/>
        <w:rPr>
          <w:rFonts w:eastAsia="仿宋"/>
          <w:sz w:val="32"/>
          <w:szCs w:val="32"/>
        </w:rPr>
      </w:pPr>
      <w:r>
        <w:rPr>
          <w:rFonts w:eastAsia="仿宋"/>
          <w:sz w:val="32"/>
          <w:szCs w:val="32"/>
        </w:rPr>
        <w:t>本标准严格按照GB/T 1.1—2020《标准化工作导则  第1部分：标准化文件的结构和起草规则》的规则起草，标准主要内容参考相关标准文件并结合起草单位多年的</w:t>
      </w:r>
      <w:r>
        <w:rPr>
          <w:rFonts w:hint="eastAsia" w:eastAsia="仿宋"/>
          <w:sz w:val="32"/>
          <w:szCs w:val="32"/>
        </w:rPr>
        <w:t>相关</w:t>
      </w:r>
      <w:r>
        <w:rPr>
          <w:rFonts w:eastAsia="仿宋"/>
          <w:sz w:val="32"/>
          <w:szCs w:val="32"/>
        </w:rPr>
        <w:t>经验</w:t>
      </w:r>
      <w:r>
        <w:rPr>
          <w:rFonts w:hint="eastAsia" w:eastAsia="仿宋"/>
          <w:sz w:val="32"/>
          <w:szCs w:val="32"/>
        </w:rPr>
        <w:t>和实践</w:t>
      </w:r>
      <w:r>
        <w:rPr>
          <w:rFonts w:eastAsia="仿宋"/>
          <w:sz w:val="32"/>
          <w:szCs w:val="32"/>
        </w:rPr>
        <w:t>验证情况总结进行起草。</w:t>
      </w:r>
    </w:p>
    <w:p w14:paraId="4909473A">
      <w:pPr>
        <w:keepNext w:val="0"/>
        <w:keepLines w:val="0"/>
        <w:pageBreakBefore w:val="0"/>
        <w:widowControl/>
        <w:tabs>
          <w:tab w:val="center" w:pos="4201"/>
          <w:tab w:val="right" w:leader="dot" w:pos="9298"/>
        </w:tabs>
        <w:kinsoku/>
        <w:overflowPunct/>
        <w:topLinePunct w:val="0"/>
        <w:autoSpaceDE w:val="0"/>
        <w:autoSpaceDN w:val="0"/>
        <w:bidi w:val="0"/>
        <w:snapToGrid/>
        <w:spacing w:line="560" w:lineRule="exact"/>
        <w:ind w:left="0"/>
        <w:outlineLvl w:val="1"/>
        <w:rPr>
          <w:rFonts w:eastAsia="仿宋"/>
          <w:b/>
          <w:bCs/>
          <w:kern w:val="0"/>
          <w:sz w:val="32"/>
          <w:szCs w:val="32"/>
        </w:rPr>
      </w:pPr>
      <w:r>
        <w:rPr>
          <w:rFonts w:eastAsia="仿宋"/>
          <w:b/>
          <w:bCs/>
          <w:kern w:val="0"/>
          <w:sz w:val="32"/>
          <w:szCs w:val="32"/>
        </w:rPr>
        <w:t>（三）与现行法律、法规的关系，与有关国家标准、行业标准的协调情况</w:t>
      </w:r>
    </w:p>
    <w:p w14:paraId="03FE614D">
      <w:pPr>
        <w:keepNext w:val="0"/>
        <w:keepLines w:val="0"/>
        <w:pageBreakBefore w:val="0"/>
        <w:kinsoku/>
        <w:overflowPunct/>
        <w:topLinePunct w:val="0"/>
        <w:bidi w:val="0"/>
        <w:snapToGrid/>
        <w:ind w:left="0" w:firstLine="640" w:firstLineChars="200"/>
        <w:rPr>
          <w:rFonts w:eastAsia="仿宋"/>
          <w:sz w:val="32"/>
          <w:szCs w:val="32"/>
        </w:rPr>
      </w:pPr>
      <w:r>
        <w:rPr>
          <w:rFonts w:hint="eastAsia" w:eastAsia="仿宋"/>
          <w:sz w:val="32"/>
          <w:szCs w:val="32"/>
        </w:rPr>
        <w:t>本编制工作组承诺本标准内容与各项指标不违反相关法律法规要求，且不低于国家强制性标准、推荐性国家标准和行业标准要求。</w:t>
      </w:r>
    </w:p>
    <w:p w14:paraId="0D2CF510">
      <w:pPr>
        <w:keepNext w:val="0"/>
        <w:keepLines w:val="0"/>
        <w:pageBreakBefore w:val="0"/>
        <w:kinsoku/>
        <w:overflowPunct/>
        <w:topLinePunct w:val="0"/>
        <w:bidi w:val="0"/>
        <w:snapToGrid/>
        <w:spacing w:line="560" w:lineRule="exact"/>
        <w:ind w:left="0" w:firstLine="640" w:firstLineChars="200"/>
        <w:rPr>
          <w:rFonts w:hint="eastAsia" w:ascii="仿宋_GB2312" w:hAnsi="宋体" w:eastAsia="仿宋_GB2312"/>
          <w:sz w:val="32"/>
          <w:szCs w:val="28"/>
        </w:rPr>
      </w:pPr>
      <w:r>
        <w:rPr>
          <w:rFonts w:hint="eastAsia" w:ascii="仿宋_GB2312" w:hAnsi="宋体" w:eastAsia="仿宋_GB2312"/>
          <w:sz w:val="32"/>
          <w:szCs w:val="28"/>
        </w:rPr>
        <w:t>经查询，与“猪人工授精”相关的标准有：</w:t>
      </w:r>
    </w:p>
    <w:p w14:paraId="6BD661F4">
      <w:pPr>
        <w:keepNext w:val="0"/>
        <w:keepLines w:val="0"/>
        <w:pageBreakBefore w:val="0"/>
        <w:kinsoku/>
        <w:overflowPunct/>
        <w:topLinePunct w:val="0"/>
        <w:bidi w:val="0"/>
        <w:snapToGrid/>
        <w:spacing w:line="560" w:lineRule="exact"/>
        <w:ind w:left="0" w:firstLine="640" w:firstLineChars="200"/>
        <w:rPr>
          <w:rFonts w:hint="eastAsia" w:ascii="仿宋_GB2312" w:hAnsi="宋体" w:eastAsia="仿宋_GB2312"/>
          <w:sz w:val="32"/>
          <w:szCs w:val="28"/>
        </w:rPr>
      </w:pPr>
      <w:r>
        <w:rPr>
          <w:rFonts w:hint="eastAsia" w:ascii="仿宋_GB2312" w:hAnsi="宋体" w:eastAsia="仿宋_GB2312"/>
          <w:sz w:val="32"/>
          <w:szCs w:val="28"/>
        </w:rPr>
        <w:t>《NY/T 636-2021  猪人工授精技术规程》规定了精液采集、品质检査、稀释、分装、保存和运输、输精等技术环节要求，适用于猪常温精液人工授精操作。《DB43/T 226-2004  猪人工授精技术规范》规定了猪人工授精的种公猪的品种与质量、饲养管理、采精、精液检测、精液稀释、精液保存与运送、输精、技术评定规则、输精员与品收站的要求。《DB4114/T 144-2020  猪人工授精操作规程》规定了猪人工授精操作的调教、采精、精液品质检查、精液稀释、精液分装、保存与运输的操作指示。《DB1307/T 423-2023  母猪深度人工授精技术规范》规定了母猪深度人工授精要求、深度输精技术的要求，适用于生猪养殖场（户）的母猪繁育管理。《DB54/T 0352-2024  藏猪人工授精技术规程》规定了藏猪种公猪选留、驯化、采精，精液稀释、分装、贮存、运输以及输精和配种记录等技术规范要求，适用于藏猪鲜精人工授精技术。《DB5133/T 97-2024  藏猪人工授精技术规程》规定了藏猪采精公猪选择、调教、采精，精液质量检测、稀释、分装、贮存、运输，人工输精等技术规范要求，适用于甘孜州藏猪人工输精站、养殖大户、专合社、规模养殖场。《DB5206/T 01-2018  铜仁市猪人工授精技术操作规程》规定了猪人工授精技术各个环节，包括种公猪的品种与来源、调教、采精，精液的品质检查、稀释、分装、保存、运输和输精等，适用于铜仁市猪人工授精站(点)、养猪场(大户)。《DB5303/T 6.4-2013  滇陆猪综合标准  第4部分：滇陆猪人工授精操作规程》规定了滇陆猪人工授精技术的实验室与采精室建设、种公猪的调教与采精、稀释液的配制、精液的稀释、精液的品质检査、精液的保存和运输及母猪的输精技术操作规程，适用于滇陆猪人工授精技术操作。《T/LZSZZHY 006-2024  藏猪人工授精技术规程》规定了藏猪的种公猪驯化、采精、精液质量测定、精液稀释、分装、贮存、运输和档案管理等技术规范要求，适用于西藏藏猪人工输精站、种公猪站、大型养猪户、规模化猪场。《T/LZZLXH 046-2021  藏猪人工授精技术规程》规定了藏猪的种公猪驯化、采精、精液质量测定、精液稀释、分装、贮存、运输和档案管理等技术规范要求，适用于西藏藏猪人工输精站、乡村配种站、大型养猪户、规模化猪场。</w:t>
      </w:r>
    </w:p>
    <w:p w14:paraId="7FA8BB82">
      <w:pPr>
        <w:keepNext w:val="0"/>
        <w:keepLines w:val="0"/>
        <w:pageBreakBefore w:val="0"/>
        <w:kinsoku/>
        <w:overflowPunct/>
        <w:topLinePunct w:val="0"/>
        <w:bidi w:val="0"/>
        <w:snapToGrid/>
        <w:spacing w:line="560" w:lineRule="exact"/>
        <w:ind w:left="0" w:firstLine="640" w:firstLineChars="200"/>
        <w:rPr>
          <w:rFonts w:ascii="仿宋_GB2312" w:hAnsi="宋体" w:eastAsia="仿宋_GB2312"/>
          <w:sz w:val="32"/>
          <w:szCs w:val="28"/>
        </w:rPr>
      </w:pPr>
      <w:r>
        <w:rPr>
          <w:rFonts w:hint="eastAsia" w:ascii="仿宋_GB2312" w:hAnsi="宋体" w:eastAsia="仿宋_GB2312"/>
          <w:sz w:val="32"/>
          <w:szCs w:val="28"/>
        </w:rPr>
        <w:t>综上所述：上述标准主要采用常温精液进行输精，本标准在采精阶段采用了坑道自动采精法，获得高质量精液，也可采用冷冻精液进行人工授精，操作更灵活方便。基于上述核心技术，本标准主要对精液采集、保存和运输、输精等操作要求进行了规定。</w:t>
      </w:r>
    </w:p>
    <w:p w14:paraId="14FD2F15">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rPr>
          <w:rFonts w:ascii="黑体" w:hAnsi="黑体" w:eastAsia="黑体" w:cs="仿宋_GB2312"/>
          <w:sz w:val="32"/>
          <w:szCs w:val="32"/>
        </w:rPr>
      </w:pPr>
      <w:bookmarkStart w:id="1" w:name="_Toc526940084"/>
      <w:r>
        <w:rPr>
          <w:rFonts w:hint="eastAsia" w:ascii="黑体" w:hAnsi="黑体" w:eastAsia="黑体" w:cs="仿宋_GB2312"/>
          <w:sz w:val="32"/>
          <w:szCs w:val="32"/>
        </w:rPr>
        <w:t>五、</w:t>
      </w:r>
      <w:bookmarkEnd w:id="1"/>
      <w:r>
        <w:rPr>
          <w:rFonts w:hint="eastAsia" w:ascii="黑体" w:hAnsi="黑体" w:eastAsia="黑体" w:cs="仿宋_GB2312"/>
          <w:sz w:val="32"/>
          <w:szCs w:val="32"/>
        </w:rPr>
        <w:t>主要条款的说明</w:t>
      </w:r>
    </w:p>
    <w:p w14:paraId="1B480E71">
      <w:pPr>
        <w:keepNext w:val="0"/>
        <w:keepLines w:val="0"/>
        <w:pageBreakBefore w:val="0"/>
        <w:kinsoku/>
        <w:overflowPunct/>
        <w:topLinePunct w:val="0"/>
        <w:bidi w:val="0"/>
        <w:snapToGrid/>
        <w:ind w:left="0"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10年来，已向全区60多个县（市）及区外推广种猪25000头，向海南省、广东省湛江市、广西南宁市、贺州市、贵港市、崇左市、百色市、来宾市、玉林市等31个县（市、区）的36个猪精销售网点推广新鲜精液32万头份，推广冷冻精液4800头份。</w:t>
      </w:r>
    </w:p>
    <w:p w14:paraId="7ED3ABD2">
      <w:pPr>
        <w:keepNext w:val="0"/>
        <w:keepLines w:val="0"/>
        <w:pageBreakBefore w:val="0"/>
        <w:kinsoku/>
        <w:overflowPunct/>
        <w:topLinePunct w:val="0"/>
        <w:bidi w:val="0"/>
        <w:snapToGrid/>
        <w:ind w:left="0"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2021年始组织开展广西地方猪冷冻猪精等遗传资源保护，截止2023年12月开展有广西陆川猪、巴马香猪、环江香猪、隆林猪、东山猪等冷冻猪精10万多支，为广西种猪联合育种和地方猪遗传资源保护起到了重要作用。</w:t>
      </w:r>
    </w:p>
    <w:p w14:paraId="2A17FE98">
      <w:pPr>
        <w:keepNext w:val="0"/>
        <w:keepLines w:val="0"/>
        <w:pageBreakBefore w:val="0"/>
        <w:kinsoku/>
        <w:overflowPunct/>
        <w:topLinePunct w:val="0"/>
        <w:bidi w:val="0"/>
        <w:snapToGrid/>
        <w:ind w:left="0" w:firstLine="640" w:firstLineChars="200"/>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zh-CN"/>
        </w:rPr>
        <w:t>广西壮族自治区畜禽品种改良站</w:t>
      </w:r>
      <w:r>
        <w:rPr>
          <w:rFonts w:hint="eastAsia" w:ascii="仿宋_GB2312" w:hAnsi="宋体"/>
          <w:sz w:val="32"/>
          <w:szCs w:val="32"/>
          <w:highlight w:val="none"/>
          <w:lang w:val="en-US" w:eastAsia="zh-CN"/>
        </w:rPr>
        <w:t>起草</w:t>
      </w:r>
      <w:r>
        <w:rPr>
          <w:rFonts w:hint="eastAsia" w:ascii="仿宋_GB2312" w:hAnsi="宋体" w:eastAsia="仿宋_GB2312"/>
          <w:sz w:val="32"/>
          <w:szCs w:val="32"/>
          <w:highlight w:val="none"/>
          <w:lang w:val="zh-CN"/>
        </w:rPr>
        <w:t>的广西地方标准《DB45/T 529—2008  猪人工授精技术操作规程》</w:t>
      </w:r>
      <w:r>
        <w:rPr>
          <w:rFonts w:hint="eastAsia" w:ascii="仿宋_GB2312" w:hAnsi="宋体"/>
          <w:sz w:val="32"/>
          <w:szCs w:val="32"/>
          <w:highlight w:val="none"/>
          <w:lang w:val="zh-CN"/>
        </w:rPr>
        <w:t>，发布实施后的16年间，为广西的猪人工授精技术操作发挥了重要作用，已广泛应用于我区生猪改良和良种繁育生产中,为保障我区生猪繁殖和正常生猪供应提供技术支持。</w:t>
      </w:r>
      <w:r>
        <w:rPr>
          <w:rFonts w:hint="eastAsia" w:ascii="仿宋_GB2312" w:hAnsi="宋体"/>
          <w:sz w:val="32"/>
          <w:szCs w:val="32"/>
          <w:highlight w:val="none"/>
          <w:lang w:val="en-US" w:eastAsia="zh-CN"/>
        </w:rPr>
        <w:t>原地方标准由于国家统一大市场等要求已废止，本标准在原地方标准的基础上，结合近几年针对猪人工授精技术的实践经验技术总结，对原地方标准进行了完善。</w:t>
      </w:r>
    </w:p>
    <w:p w14:paraId="5003E715">
      <w:pPr>
        <w:keepNext w:val="0"/>
        <w:keepLines w:val="0"/>
        <w:pageBreakBefore w:val="0"/>
        <w:kinsoku/>
        <w:overflowPunct/>
        <w:topLinePunct w:val="0"/>
        <w:bidi w:val="0"/>
        <w:snapToGrid/>
        <w:ind w:left="0"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团体标准《</w:t>
      </w:r>
      <w:r>
        <w:rPr>
          <w:rFonts w:hint="eastAsia" w:ascii="仿宋_GB2312" w:hAnsi="宋体"/>
          <w:sz w:val="32"/>
          <w:szCs w:val="32"/>
          <w:lang w:val="en-US" w:eastAsia="zh-CN"/>
        </w:rPr>
        <w:t>猪人工授精技术规程</w:t>
      </w:r>
      <w:r>
        <w:rPr>
          <w:rFonts w:hint="eastAsia" w:ascii="仿宋_GB2312" w:hAnsi="宋体" w:eastAsia="仿宋_GB2312"/>
          <w:sz w:val="32"/>
          <w:szCs w:val="32"/>
          <w:lang w:val="zh-CN"/>
        </w:rPr>
        <w:t>》的主要章节内容包括：</w:t>
      </w:r>
      <w:r>
        <w:rPr>
          <w:rFonts w:hint="eastAsia" w:ascii="仿宋_GB2312" w:hAnsi="宋体" w:eastAsia="仿宋_GB2312"/>
          <w:sz w:val="32"/>
          <w:szCs w:val="28"/>
          <w:highlight w:val="none"/>
        </w:rPr>
        <w:t>采精种公猪的选择、采精台的制作、采精前准备、采精、精液品质检查、精液稀释、分装、贮存与运输、授精操作</w:t>
      </w:r>
      <w:r>
        <w:rPr>
          <w:rFonts w:hint="eastAsia" w:ascii="仿宋_GB2312" w:hAnsi="宋体" w:eastAsia="仿宋_GB2312"/>
          <w:sz w:val="32"/>
          <w:szCs w:val="32"/>
          <w:highlight w:val="none"/>
          <w:lang w:val="zh-CN"/>
        </w:rPr>
        <w:t>。</w:t>
      </w:r>
      <w:r>
        <w:rPr>
          <w:rFonts w:hint="eastAsia" w:ascii="仿宋_GB2312" w:hAnsi="宋体" w:eastAsia="仿宋_GB2312"/>
          <w:sz w:val="32"/>
          <w:szCs w:val="32"/>
          <w:lang w:val="zh-CN"/>
        </w:rPr>
        <w:t>本文件主要内容及依据来源说明如下：</w:t>
      </w:r>
    </w:p>
    <w:p w14:paraId="181CA556">
      <w:pPr>
        <w:pStyle w:val="31"/>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1003" w:leftChars="0" w:firstLine="643" w:firstLineChars="200"/>
        <w:jc w:val="left"/>
        <w:textAlignment w:val="auto"/>
        <w:rPr>
          <w:rFonts w:ascii="仿宋_GB2312" w:hAnsi="宋体" w:eastAsia="仿宋_GB2312"/>
          <w:b/>
          <w:sz w:val="32"/>
          <w:szCs w:val="32"/>
          <w:lang w:val="zh-CN"/>
        </w:rPr>
      </w:pPr>
      <w:r>
        <w:rPr>
          <w:rFonts w:hint="eastAsia" w:ascii="仿宋_GB2312" w:hAnsi="宋体" w:eastAsia="仿宋_GB2312" w:cs="Times New Roman"/>
          <w:b/>
          <w:kern w:val="2"/>
          <w:sz w:val="32"/>
          <w:szCs w:val="32"/>
          <w:lang w:val="zh-CN" w:eastAsia="zh-CN" w:bidi="ar-SA"/>
        </w:rPr>
        <w:t>（一）</w:t>
      </w:r>
      <w:r>
        <w:rPr>
          <w:rFonts w:hint="eastAsia" w:ascii="仿宋_GB2312" w:hAnsi="宋体"/>
          <w:b/>
          <w:sz w:val="32"/>
          <w:szCs w:val="32"/>
          <w:lang w:val="en-US" w:eastAsia="zh-CN"/>
        </w:rPr>
        <w:t>授精流程</w:t>
      </w:r>
    </w:p>
    <w:p w14:paraId="372B1A29">
      <w:pPr>
        <w:keepNext w:val="0"/>
        <w:keepLines w:val="0"/>
        <w:pageBreakBefore w:val="0"/>
        <w:kinsoku/>
        <w:overflowPunct/>
        <w:topLinePunct w:val="0"/>
        <w:bidi w:val="0"/>
        <w:snapToGrid/>
        <w:ind w:left="0" w:firstLine="640" w:firstLineChars="200"/>
        <w:rPr>
          <w:rFonts w:hint="eastAsia" w:ascii="仿宋_GB2312" w:hAnsi="宋体"/>
          <w:sz w:val="32"/>
          <w:szCs w:val="32"/>
          <w:highlight w:val="none"/>
          <w:lang w:val="en-US" w:eastAsia="zh-CN"/>
        </w:rPr>
      </w:pPr>
      <w:r>
        <w:rPr>
          <w:rFonts w:hint="eastAsia" w:ascii="仿宋_GB2312" w:hAnsi="宋体"/>
          <w:sz w:val="32"/>
          <w:szCs w:val="32"/>
          <w:highlight w:val="none"/>
          <w:lang w:val="en-US" w:eastAsia="zh-CN"/>
        </w:rPr>
        <w:t>科学的输精流程设计可以最大化保障精子的活力和受胎成功率，行业标准《NY/T 636  猪人工授精技术规程》给出了猪人工授精整体流程（见图2），在实际生产过程得到了广泛应用。本标准在授精整体流程上与行业标准保持一致，同时在每个流程结合广西壮族自治区畜禽品种改良站等单位近十年来，开展猪人工授精技术理论研究、实践验证获得的成果。</w:t>
      </w:r>
    </w:p>
    <w:p w14:paraId="030B0111">
      <w:pPr>
        <w:pStyle w:val="2"/>
        <w:rPr>
          <w:rFonts w:hint="eastAsia" w:ascii="仿宋_GB2312" w:hAnsi="宋体" w:eastAsia="仿宋_GB2312"/>
          <w:sz w:val="32"/>
          <w:szCs w:val="32"/>
          <w:lang w:val="zh-CN"/>
        </w:rPr>
      </w:pPr>
      <w:r>
        <w:rPr>
          <w:rFonts w:hint="eastAsia"/>
          <w:lang w:val="en-US" w:eastAsia="zh-CN"/>
        </w:rPr>
        <w:t>例如，广西畜禽品种改良站许典新推广研究员等人于1975年初起开展了公猪精液冷保存的研究猪冷冻精液初步获得成功，1975年4月底止在国营农场和生产队试配母猪23头和103头情期受胎分别为64%和30%,最先配的33头已陆续产仔,平均每头产仔9(2～18)头情况良好。1978年《猪、牛人工授精技术》获全国科学大会奖、1980年《猪精液冷冻技术研究》获广西优秀科研成果二等奖、1985年《猪冷冻精液推广应用》获广西农牧渔业厅科技改进三等奖、《广西猪冷冻精液的推广与应用》(1981—1988)取得区科委优秀成果二等奖。</w:t>
      </w:r>
      <w:r>
        <w:rPr>
          <w:rFonts w:hint="eastAsia" w:ascii="仿宋_GB2312" w:hAnsi="宋体" w:eastAsia="仿宋_GB2312"/>
          <w:sz w:val="32"/>
          <w:szCs w:val="32"/>
          <w:lang w:val="zh-CN"/>
        </w:rPr>
        <w:t>2015年起先后开展种猪联合育种、生猪遗传改良、种猪性能测定、“细管冷冻猪精生产研究及深部输精的技术”等研究推广工作，成功将猪精冷冻保存，优良外种冷冻精液6万多支，常规人工授精受胎率达93.10%，平均每头母猪窝产12.55头，冷冻精液进行人工深部输精，受胎率达96.30%，平均每头母猪窝产12.46头。</w:t>
      </w:r>
    </w:p>
    <w:p w14:paraId="6CA58AB0">
      <w:pPr>
        <w:pStyle w:val="2"/>
        <w:rPr>
          <w:rFonts w:hint="default" w:ascii="仿宋_GB2312" w:hAnsi="宋体" w:eastAsia="仿宋_GB2312"/>
          <w:sz w:val="32"/>
          <w:szCs w:val="32"/>
          <w:lang w:val="en-US" w:eastAsia="zh-CN"/>
        </w:rPr>
      </w:pPr>
      <w:r>
        <w:rPr>
          <w:rFonts w:hint="eastAsia" w:ascii="仿宋_GB2312" w:hAnsi="宋体"/>
          <w:sz w:val="32"/>
          <w:szCs w:val="32"/>
          <w:lang w:val="en-US" w:eastAsia="zh-CN"/>
        </w:rPr>
        <w:t>以上众多研究课题、项目，为起草单位掌握猪人工授精技术特点、授精流程提供了丰富的理论和实践支撑，验证了本标准猪人工授精技术流程的可行性和科学性。</w:t>
      </w:r>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74"/>
      </w:tblGrid>
      <w:tr w14:paraId="48521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70D959F5">
            <w:pPr>
              <w:pStyle w:val="2"/>
              <w:ind w:left="0" w:leftChars="0" w:firstLine="0" w:firstLineChars="0"/>
              <w:jc w:val="center"/>
              <w:rPr>
                <w:rFonts w:hint="eastAsia" w:eastAsia="仿宋_GB2312"/>
                <w:vertAlign w:val="baseline"/>
                <w:lang w:eastAsia="zh-CN"/>
              </w:rPr>
            </w:pPr>
            <w:r>
              <w:rPr>
                <w:rFonts w:hint="eastAsia" w:eastAsia="仿宋_GB2312"/>
                <w:vertAlign w:val="baseline"/>
                <w:lang w:eastAsia="zh-CN"/>
              </w:rPr>
              <w:drawing>
                <wp:inline distT="0" distB="0" distL="114300" distR="114300">
                  <wp:extent cx="3294380" cy="2648585"/>
                  <wp:effectExtent l="0" t="0" r="1270" b="18415"/>
                  <wp:docPr id="10" name="图片 10" descr="93fc6658-dbbb-4a83-b174-d9e04eeea10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93fc6658-dbbb-4a83-b174-d9e04eeea10d"/>
                          <pic:cNvPicPr>
                            <a:picLocks noChangeAspect="1"/>
                          </pic:cNvPicPr>
                        </pic:nvPicPr>
                        <pic:blipFill>
                          <a:blip r:embed="rId9"/>
                          <a:stretch>
                            <a:fillRect/>
                          </a:stretch>
                        </pic:blipFill>
                        <pic:spPr>
                          <a:xfrm>
                            <a:off x="0" y="0"/>
                            <a:ext cx="3294380" cy="2648585"/>
                          </a:xfrm>
                          <a:prstGeom prst="rect">
                            <a:avLst/>
                          </a:prstGeom>
                        </pic:spPr>
                      </pic:pic>
                    </a:graphicData>
                  </a:graphic>
                </wp:inline>
              </w:drawing>
            </w:r>
          </w:p>
        </w:tc>
      </w:tr>
      <w:tr w14:paraId="5A183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2AB54F08">
            <w:pPr>
              <w:pStyle w:val="2"/>
              <w:ind w:left="0" w:leftChars="0" w:firstLine="0" w:firstLineChars="0"/>
              <w:jc w:val="center"/>
              <w:rPr>
                <w:rFonts w:hint="default" w:eastAsia="仿宋_GB2312"/>
                <w:vertAlign w:val="baseline"/>
                <w:lang w:val="en-US" w:eastAsia="zh-CN"/>
              </w:rPr>
            </w:pPr>
            <w:r>
              <w:rPr>
                <w:rFonts w:hint="eastAsia"/>
                <w:sz w:val="28"/>
                <w:szCs w:val="28"/>
                <w:vertAlign w:val="baseline"/>
                <w:lang w:val="en-US" w:eastAsia="zh-CN"/>
              </w:rPr>
              <w:t>图2  《NYT 636-2021 猪人工授精技术规程》授精流程</w:t>
            </w:r>
          </w:p>
        </w:tc>
      </w:tr>
    </w:tbl>
    <w:p w14:paraId="4E2731DD">
      <w:pPr>
        <w:pStyle w:val="31"/>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1003" w:leftChars="0" w:firstLine="643" w:firstLineChars="200"/>
        <w:jc w:val="left"/>
        <w:textAlignment w:val="auto"/>
        <w:rPr>
          <w:rFonts w:ascii="仿宋_GB2312" w:hAnsi="宋体" w:eastAsia="仿宋_GB2312"/>
          <w:b/>
          <w:sz w:val="32"/>
          <w:szCs w:val="32"/>
          <w:lang w:val="zh-CN"/>
        </w:rPr>
      </w:pPr>
      <w:r>
        <w:rPr>
          <w:rFonts w:hint="eastAsia" w:ascii="仿宋_GB2312" w:hAnsi="宋体" w:eastAsia="仿宋_GB2312" w:cs="Times New Roman"/>
          <w:b/>
          <w:kern w:val="2"/>
          <w:sz w:val="32"/>
          <w:szCs w:val="32"/>
          <w:lang w:val="zh-CN" w:eastAsia="zh-CN" w:bidi="ar-SA"/>
        </w:rPr>
        <w:t>（二）</w:t>
      </w:r>
      <w:r>
        <w:rPr>
          <w:rFonts w:hint="eastAsia" w:ascii="仿宋_GB2312" w:hAnsi="宋体"/>
          <w:b/>
          <w:sz w:val="32"/>
          <w:szCs w:val="32"/>
          <w:lang w:val="en-US" w:eastAsia="zh-CN"/>
        </w:rPr>
        <w:t>精液采集</w:t>
      </w:r>
    </w:p>
    <w:p w14:paraId="36207D87">
      <w:pPr>
        <w:keepNext w:val="0"/>
        <w:keepLines w:val="0"/>
        <w:pageBreakBefore w:val="0"/>
        <w:kinsoku/>
        <w:overflowPunct/>
        <w:topLinePunct w:val="0"/>
        <w:bidi w:val="0"/>
        <w:snapToGrid/>
        <w:ind w:left="0" w:firstLine="640" w:firstLineChars="200"/>
        <w:rPr>
          <w:rFonts w:hint="eastAsia" w:ascii="仿宋_GB2312" w:hAnsi="宋体"/>
          <w:sz w:val="32"/>
          <w:szCs w:val="32"/>
          <w:highlight w:val="none"/>
          <w:lang w:val="en-US" w:eastAsia="zh-CN"/>
        </w:rPr>
      </w:pPr>
      <w:r>
        <w:rPr>
          <w:rFonts w:hint="eastAsia" w:ascii="仿宋_GB2312" w:hAnsi="宋体"/>
          <w:sz w:val="32"/>
          <w:szCs w:val="32"/>
          <w:highlight w:val="none"/>
          <w:lang w:val="zh-CN"/>
        </w:rPr>
        <w:t>广西壮族自治区畜禽品种改良站</w:t>
      </w:r>
      <w:r>
        <w:rPr>
          <w:rFonts w:hint="eastAsia" w:ascii="仿宋_GB2312" w:hAnsi="宋体"/>
          <w:sz w:val="32"/>
          <w:szCs w:val="32"/>
          <w:highlight w:val="none"/>
          <w:lang w:val="en-US" w:eastAsia="zh-CN"/>
        </w:rPr>
        <w:t>起草</w:t>
      </w:r>
      <w:r>
        <w:rPr>
          <w:rFonts w:hint="eastAsia" w:ascii="仿宋_GB2312" w:hAnsi="宋体"/>
          <w:sz w:val="32"/>
          <w:szCs w:val="32"/>
          <w:highlight w:val="none"/>
          <w:lang w:val="zh-CN"/>
        </w:rPr>
        <w:t>的广西地方标准《DB45/T 529—2008  猪人工授精技术操作规程》，</w:t>
      </w:r>
      <w:r>
        <w:rPr>
          <w:rFonts w:hint="eastAsia" w:ascii="仿宋_GB2312" w:hAnsi="宋体"/>
          <w:sz w:val="32"/>
          <w:szCs w:val="32"/>
          <w:highlight w:val="none"/>
          <w:lang w:val="en-US" w:eastAsia="zh-CN"/>
        </w:rPr>
        <w:t>对于精液采集过程有了详细要求，由于原地方标准已被废止，起草单位在近几年工作经验总结与研究成果基础上，结合原来地方标准条款内容进行修改，创新提出了自动采精程序。</w:t>
      </w:r>
    </w:p>
    <w:p w14:paraId="60C49212">
      <w:pPr>
        <w:pStyle w:val="2"/>
        <w:rPr>
          <w:rFonts w:hint="eastAsia"/>
          <w:lang w:val="en-US" w:eastAsia="zh-CN"/>
        </w:rPr>
      </w:pPr>
      <w:r>
        <w:rPr>
          <w:rFonts w:hint="eastAsia"/>
          <w:lang w:val="en-US" w:eastAsia="zh-CN"/>
        </w:rPr>
        <w:t>2.1采精公猪选择</w:t>
      </w:r>
    </w:p>
    <w:p w14:paraId="4077434B">
      <w:pPr>
        <w:pStyle w:val="2"/>
        <w:keepNext w:val="0"/>
        <w:keepLines w:val="0"/>
        <w:pageBreakBefore w:val="0"/>
        <w:widowControl w:val="0"/>
        <w:kinsoku/>
        <w:wordWrap/>
        <w:overflowPunct/>
        <w:topLinePunct w:val="0"/>
        <w:autoSpaceDE/>
        <w:autoSpaceDN/>
        <w:bidi w:val="0"/>
        <w:adjustRightInd/>
        <w:snapToGrid/>
        <w:spacing w:after="0"/>
        <w:textAlignment w:val="baseline"/>
        <w:rPr>
          <w:rFonts w:hint="eastAsia"/>
          <w:lang w:val="en-US" w:eastAsia="zh-CN"/>
        </w:rPr>
      </w:pPr>
      <w:r>
        <w:rPr>
          <w:rFonts w:hint="eastAsia" w:ascii="仿宋_GB2312" w:hAnsi="宋体"/>
          <w:sz w:val="32"/>
          <w:szCs w:val="32"/>
          <w:highlight w:val="none"/>
          <w:lang w:val="en-US" w:eastAsia="zh-CN"/>
        </w:rPr>
        <w:t>原本地方标准</w:t>
      </w:r>
      <w:r>
        <w:rPr>
          <w:rFonts w:hint="eastAsia" w:ascii="仿宋_GB2312" w:hAnsi="宋体"/>
          <w:sz w:val="32"/>
          <w:szCs w:val="32"/>
          <w:highlight w:val="none"/>
          <w:lang w:val="zh-CN"/>
        </w:rPr>
        <w:t>《DB45/T 529—2008  猪人工授精技术操作规程》，</w:t>
      </w:r>
      <w:r>
        <w:rPr>
          <w:rFonts w:hint="eastAsia" w:ascii="仿宋_GB2312" w:hAnsi="宋体"/>
          <w:sz w:val="32"/>
          <w:szCs w:val="32"/>
          <w:highlight w:val="none"/>
          <w:lang w:val="en-US" w:eastAsia="zh-CN"/>
        </w:rPr>
        <w:t>公猪</w:t>
      </w:r>
      <w:r>
        <w:rPr>
          <w:rFonts w:hint="eastAsia"/>
          <w:lang w:val="en-US" w:eastAsia="zh-CN"/>
        </w:rPr>
        <w:t>选择要求为公猪年龄10月龄～4周岁，精子活率≥70%，精子密度1亿/mL～2亿/mL，精子畸形率＜16%。随着近几年起草单位</w:t>
      </w:r>
      <w:bookmarkStart w:id="3" w:name="_GoBack"/>
      <w:r>
        <w:rPr>
          <w:rFonts w:hint="eastAsia"/>
          <w:lang w:val="en-US" w:eastAsia="zh-CN"/>
        </w:rPr>
        <w:t>在各养殖场授精经验总结以及研究成果，结合国家标准《GB 23238-2021 种猪常温精液》的要求，对公猪选择指标进一步修改完善。</w:t>
      </w:r>
    </w:p>
    <w:p w14:paraId="638A0B66">
      <w:pPr>
        <w:pStyle w:val="2"/>
        <w:keepNext w:val="0"/>
        <w:keepLines w:val="0"/>
        <w:pageBreakBefore w:val="0"/>
        <w:widowControl w:val="0"/>
        <w:kinsoku/>
        <w:wordWrap/>
        <w:overflowPunct/>
        <w:topLinePunct w:val="0"/>
        <w:autoSpaceDE/>
        <w:autoSpaceDN/>
        <w:bidi w:val="0"/>
        <w:adjustRightInd/>
        <w:snapToGrid/>
        <w:spacing w:after="0"/>
        <w:textAlignment w:val="baseline"/>
        <w:rPr>
          <w:rFonts w:hint="eastAsia"/>
          <w:lang w:val="en-US" w:eastAsia="zh-CN"/>
        </w:rPr>
      </w:pPr>
      <w:r>
        <w:rPr>
          <w:rFonts w:hint="eastAsia"/>
          <w:lang w:val="en-US" w:eastAsia="zh-CN"/>
        </w:rPr>
        <w:t>本标准选择公猪要</w:t>
      </w:r>
      <w:r>
        <w:rPr>
          <w:rFonts w:hint="default"/>
          <w:lang w:val="en-US" w:eastAsia="zh-CN"/>
        </w:rPr>
        <w:t>确保公猪性成熟和体成熟</w:t>
      </w:r>
      <w:r>
        <w:rPr>
          <w:rFonts w:hint="eastAsia"/>
          <w:lang w:val="en-US" w:eastAsia="zh-CN"/>
        </w:rPr>
        <w:t>，要求</w:t>
      </w:r>
      <w:r>
        <w:rPr>
          <w:rFonts w:hint="default"/>
          <w:lang w:val="en-US" w:eastAsia="zh-CN"/>
        </w:rPr>
        <w:t>10月龄</w:t>
      </w:r>
      <w:r>
        <w:rPr>
          <w:rFonts w:hint="eastAsia"/>
          <w:lang w:val="en-US" w:eastAsia="zh-CN"/>
        </w:rPr>
        <w:t>的</w:t>
      </w:r>
      <w:r>
        <w:rPr>
          <w:rFonts w:hint="default"/>
          <w:lang w:val="en-US" w:eastAsia="zh-CN"/>
        </w:rPr>
        <w:t>下限</w:t>
      </w:r>
      <w:r>
        <w:rPr>
          <w:rFonts w:hint="eastAsia"/>
          <w:lang w:val="en-US" w:eastAsia="zh-CN"/>
        </w:rPr>
        <w:t>，确保此时</w:t>
      </w:r>
      <w:r>
        <w:rPr>
          <w:rFonts w:hint="default"/>
          <w:lang w:val="en-US" w:eastAsia="zh-CN"/>
        </w:rPr>
        <w:t>公猪睾丸发育完全，内分泌系统稳定，能生产高质量精液。</w:t>
      </w:r>
      <w:r>
        <w:rPr>
          <w:rFonts w:hint="eastAsia"/>
          <w:lang w:val="en-US" w:eastAsia="zh-CN"/>
        </w:rPr>
        <w:t>若</w:t>
      </w:r>
      <w:r>
        <w:rPr>
          <w:rFonts w:hint="default"/>
          <w:lang w:val="en-US" w:eastAsia="zh-CN"/>
        </w:rPr>
        <w:t>过早</w:t>
      </w:r>
      <w:bookmarkEnd w:id="3"/>
      <w:r>
        <w:rPr>
          <w:rFonts w:hint="default"/>
          <w:lang w:val="en-US" w:eastAsia="zh-CN"/>
        </w:rPr>
        <w:t>使用（如8月龄前）可能导致精子不成熟、受胎率低，并影响公猪自身发育</w:t>
      </w:r>
      <w:r>
        <w:rPr>
          <w:rFonts w:hint="eastAsia"/>
          <w:lang w:val="en-US" w:eastAsia="zh-CN"/>
        </w:rPr>
        <w:t>。而公猪精液品质在41-42月龄开始显著降低，根据统计公猪达到3岁及以上精子活力为89.87%，10月龄～3周岁活力为91.46%，3岁后公猪精子活力下降较多。</w:t>
      </w:r>
    </w:p>
    <w:p w14:paraId="2BED5DBB">
      <w:pPr>
        <w:pStyle w:val="2"/>
        <w:rPr>
          <w:rFonts w:hint="eastAsia"/>
          <w:lang w:val="en-US" w:eastAsia="zh-CN"/>
        </w:rPr>
      </w:pPr>
      <w:r>
        <w:rPr>
          <w:rFonts w:hint="eastAsia"/>
          <w:lang w:val="en-US" w:eastAsia="zh-CN"/>
        </w:rPr>
        <w:t>按照《GB 23238-2021  种猪常温精液》的要求，</w:t>
      </w:r>
      <w:r>
        <w:rPr>
          <w:rFonts w:hint="default"/>
          <w:lang w:val="en-US" w:eastAsia="zh-CN"/>
        </w:rPr>
        <w:t>对于精子活力标准要求为≥60%即可满足使用需求</w:t>
      </w:r>
      <w:r>
        <w:rPr>
          <w:rFonts w:hint="eastAsia"/>
          <w:lang w:val="en-US" w:eastAsia="zh-CN"/>
        </w:rPr>
        <w:t>，经过对比分析实际授精过程中前进活力60%～70%的精液与活力≥70%的精液配种受胎率差异并不显著</w:t>
      </w:r>
      <w:r>
        <w:rPr>
          <w:rFonts w:hint="default"/>
          <w:lang w:val="en-US" w:eastAsia="zh-CN"/>
        </w:rPr>
        <w:t>。</w:t>
      </w:r>
      <w:r>
        <w:rPr>
          <w:rFonts w:hint="eastAsia"/>
          <w:lang w:val="en-US" w:eastAsia="zh-CN"/>
        </w:rPr>
        <w:t>同时，根据</w:t>
      </w:r>
      <w:r>
        <w:rPr>
          <w:rFonts w:hint="default"/>
          <w:lang w:val="en-US" w:eastAsia="zh-CN"/>
        </w:rPr>
        <w:t>近3年数据统计结果显示，采精公猪精子密度＞2亿/mL占比80.18%，1亿/mL～2亿/mL的范围</w:t>
      </w:r>
      <w:r>
        <w:rPr>
          <w:rFonts w:hint="eastAsia"/>
          <w:lang w:val="en-US" w:eastAsia="zh-CN"/>
        </w:rPr>
        <w:t>局限性比较大，按照GBT 25172-2020  猪常温精液生产与保存技术规范要求，采用≥</w:t>
      </w:r>
      <w:r>
        <w:rPr>
          <w:rFonts w:hint="default"/>
          <w:lang w:val="en-US" w:eastAsia="zh-CN"/>
        </w:rPr>
        <w:t>1亿/mL</w:t>
      </w:r>
      <w:r>
        <w:rPr>
          <w:rFonts w:hint="eastAsia"/>
          <w:lang w:val="en-US" w:eastAsia="zh-CN"/>
        </w:rPr>
        <w:t>精子密度适用性更为广泛。</w:t>
      </w:r>
    </w:p>
    <w:p w14:paraId="7FF91C9A">
      <w:pPr>
        <w:pStyle w:val="2"/>
        <w:rPr>
          <w:rFonts w:hint="eastAsia"/>
          <w:lang w:val="en-US" w:eastAsia="zh-CN"/>
        </w:rPr>
      </w:pPr>
      <w:r>
        <w:rPr>
          <w:rFonts w:hint="eastAsia"/>
          <w:lang w:val="en-US" w:eastAsia="zh-CN"/>
        </w:rPr>
        <w:t>2.1采精台制作</w:t>
      </w:r>
    </w:p>
    <w:p w14:paraId="5D815162">
      <w:pPr>
        <w:pStyle w:val="2"/>
        <w:rPr>
          <w:rFonts w:hint="default" w:eastAsia="仿宋_GB2312"/>
          <w:lang w:val="en-US" w:eastAsia="zh-CN"/>
        </w:rPr>
      </w:pPr>
      <w:r>
        <w:rPr>
          <w:rFonts w:hint="default"/>
          <w:lang w:val="en-US" w:eastAsia="zh-CN"/>
        </w:rPr>
        <w:t>采精台的核心是成功诱导公猪爬跨并顺利射精。其尺寸、高度和弧度的设计，旨在尽可能逼真地模拟一头处于静立状态的发情母猪，符合公猪的自然行为本能，是采精成功的前提</w:t>
      </w:r>
      <w:r>
        <w:rPr>
          <w:rFonts w:hint="eastAsia"/>
          <w:lang w:val="en-US" w:eastAsia="zh-CN"/>
        </w:rPr>
        <w:t>。根据近5年体尺测定结果显示，公猪体高提升3.42cm，胸围提升1.79cm，公猪体长提升4.78cm，需适当提升采精台直径和长度满足公猪体尺选育。起草单位在原来</w:t>
      </w:r>
      <w:r>
        <w:rPr>
          <w:rFonts w:hint="eastAsia" w:ascii="仿宋_GB2312" w:hAnsi="宋体"/>
          <w:sz w:val="32"/>
          <w:szCs w:val="32"/>
          <w:highlight w:val="none"/>
          <w:lang w:val="zh-CN"/>
        </w:rPr>
        <w:t>地方标准《DB45/T 529—2008  猪人工授精技术操作规程》</w:t>
      </w:r>
      <w:r>
        <w:rPr>
          <w:rFonts w:hint="eastAsia" w:ascii="仿宋_GB2312" w:hAnsi="宋体"/>
          <w:sz w:val="32"/>
          <w:szCs w:val="32"/>
          <w:highlight w:val="none"/>
          <w:lang w:val="en-US" w:eastAsia="zh-CN"/>
        </w:rPr>
        <w:t>基础上，将采精台尺寸从固定值改为范围值，适应不同体型公猪的需要，增强操作的灵活性和适用性。相比固定尺寸（直径30cm、长120cm），采用直径30～35cm、长120～130cm的范围使假台对大小公猪都更适用，公猪更易爬跨且姿势自然，有助于提高采精调教效果和安全性。</w:t>
      </w:r>
    </w:p>
    <w:p w14:paraId="41FE0C7B">
      <w:pPr>
        <w:pStyle w:val="2"/>
        <w:jc w:val="center"/>
        <w:rPr>
          <w:rFonts w:hint="default"/>
          <w:lang w:val="en-US" w:eastAsia="zh-CN"/>
        </w:rPr>
      </w:pPr>
      <w:r>
        <w:rPr>
          <w:rFonts w:hint="default"/>
          <w:lang w:val="en-US" w:eastAsia="zh-CN"/>
        </w:rPr>
        <w:drawing>
          <wp:inline distT="0" distB="0" distL="114300" distR="114300">
            <wp:extent cx="2632710" cy="1973580"/>
            <wp:effectExtent l="0" t="0" r="15240" b="7620"/>
            <wp:docPr id="2" name="图片 2" descr="1f497ddb6a7f1759b8e4ee0e990c9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f497ddb6a7f1759b8e4ee0e990c9637"/>
                    <pic:cNvPicPr>
                      <a:picLocks noChangeAspect="1"/>
                    </pic:cNvPicPr>
                  </pic:nvPicPr>
                  <pic:blipFill>
                    <a:blip r:embed="rId10"/>
                    <a:stretch>
                      <a:fillRect/>
                    </a:stretch>
                  </pic:blipFill>
                  <pic:spPr>
                    <a:xfrm>
                      <a:off x="0" y="0"/>
                      <a:ext cx="2632710" cy="1973580"/>
                    </a:xfrm>
                    <a:prstGeom prst="rect">
                      <a:avLst/>
                    </a:prstGeom>
                  </pic:spPr>
                </pic:pic>
              </a:graphicData>
            </a:graphic>
          </wp:inline>
        </w:drawing>
      </w:r>
    </w:p>
    <w:p w14:paraId="2AD6E775">
      <w:pPr>
        <w:pStyle w:val="2"/>
        <w:jc w:val="center"/>
        <w:rPr>
          <w:rFonts w:hint="default"/>
          <w:sz w:val="28"/>
          <w:szCs w:val="28"/>
          <w:lang w:val="en-US" w:eastAsia="zh-CN"/>
        </w:rPr>
      </w:pPr>
      <w:r>
        <w:rPr>
          <w:rFonts w:hint="eastAsia"/>
          <w:sz w:val="28"/>
          <w:szCs w:val="28"/>
          <w:lang w:val="en-US" w:eastAsia="zh-CN"/>
        </w:rPr>
        <w:t>图1  公猪采精台</w:t>
      </w:r>
    </w:p>
    <w:p w14:paraId="10086FA3">
      <w:pPr>
        <w:pStyle w:val="31"/>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1003" w:leftChars="0" w:firstLine="643" w:firstLineChars="200"/>
        <w:jc w:val="left"/>
        <w:textAlignment w:val="auto"/>
        <w:rPr>
          <w:rFonts w:hint="eastAsia" w:ascii="仿宋_GB2312" w:hAnsi="宋体" w:eastAsia="仿宋_GB2312"/>
          <w:b/>
          <w:sz w:val="32"/>
          <w:szCs w:val="32"/>
          <w:lang w:val="zh-CN"/>
        </w:rPr>
      </w:pPr>
      <w:r>
        <w:rPr>
          <w:rFonts w:hint="eastAsia" w:ascii="仿宋_GB2312" w:hAnsi="宋体" w:eastAsia="仿宋_GB2312" w:cs="Times New Roman"/>
          <w:b/>
          <w:kern w:val="2"/>
          <w:sz w:val="32"/>
          <w:szCs w:val="32"/>
          <w:lang w:val="zh-CN" w:eastAsia="zh-CN" w:bidi="ar-SA"/>
        </w:rPr>
        <w:t>（三）</w:t>
      </w:r>
      <w:r>
        <w:rPr>
          <w:rFonts w:hint="eastAsia" w:ascii="仿宋_GB2312" w:hAnsi="宋体" w:eastAsia="仿宋_GB2312"/>
          <w:b/>
          <w:sz w:val="32"/>
          <w:szCs w:val="32"/>
          <w:lang w:val="zh-CN"/>
        </w:rPr>
        <w:t>精液品质检查</w:t>
      </w:r>
    </w:p>
    <w:p w14:paraId="7BF82F99">
      <w:pPr>
        <w:keepNext w:val="0"/>
        <w:keepLines w:val="0"/>
        <w:pageBreakBefore w:val="0"/>
        <w:kinsoku/>
        <w:overflowPunct/>
        <w:topLinePunct w:val="0"/>
        <w:bidi w:val="0"/>
        <w:snapToGrid/>
        <w:ind w:left="0" w:firstLine="640" w:firstLineChars="200"/>
        <w:rPr>
          <w:rFonts w:hint="eastAsia" w:ascii="仿宋_GB2312" w:hAnsi="宋体" w:eastAsia="仿宋_GB2312" w:cs="Times New Roman"/>
          <w:b/>
          <w:kern w:val="2"/>
          <w:sz w:val="32"/>
          <w:szCs w:val="32"/>
          <w:lang w:val="zh-CN" w:eastAsia="zh-CN" w:bidi="ar-SA"/>
        </w:rPr>
      </w:pPr>
      <w:r>
        <w:rPr>
          <w:rFonts w:hint="eastAsia" w:ascii="仿宋_GB2312" w:hAnsi="宋体" w:eastAsia="仿宋_GB2312" w:cs="Times New Roman"/>
          <w:b w:val="0"/>
          <w:bCs/>
          <w:kern w:val="2"/>
          <w:sz w:val="32"/>
          <w:szCs w:val="32"/>
          <w:lang w:val="zh-CN" w:eastAsia="zh-CN" w:bidi="ar-SA"/>
        </w:rPr>
        <w:t>精液品质检查</w:t>
      </w:r>
      <w:r>
        <w:rPr>
          <w:rFonts w:hint="eastAsia" w:ascii="仿宋_GB2312" w:hAnsi="宋体" w:cs="Times New Roman"/>
          <w:b w:val="0"/>
          <w:bCs/>
          <w:kern w:val="2"/>
          <w:sz w:val="32"/>
          <w:szCs w:val="32"/>
          <w:lang w:val="en-US" w:eastAsia="zh-CN" w:bidi="ar-SA"/>
        </w:rPr>
        <w:t>按</w:t>
      </w:r>
      <w:r>
        <w:rPr>
          <w:rFonts w:hint="eastAsia" w:ascii="仿宋_GB2312" w:hAnsi="宋体"/>
          <w:sz w:val="32"/>
          <w:szCs w:val="32"/>
          <w:lang w:val="en-US" w:eastAsia="zh-CN"/>
        </w:rPr>
        <w:t xml:space="preserve">《NY/T 636  </w:t>
      </w:r>
      <w:r>
        <w:rPr>
          <w:rFonts w:hint="eastAsia"/>
        </w:rPr>
        <w:t>猪人工授精技术规程</w:t>
      </w:r>
      <w:r>
        <w:rPr>
          <w:rFonts w:hint="eastAsia"/>
          <w:lang w:eastAsia="zh-CN"/>
        </w:rPr>
        <w:t>》</w:t>
      </w:r>
      <w:r>
        <w:rPr>
          <w:rFonts w:hint="eastAsia"/>
          <w:lang w:val="en-US" w:eastAsia="zh-CN"/>
        </w:rPr>
        <w:t>中的要求执行</w:t>
      </w:r>
      <w:r>
        <w:rPr>
          <w:rFonts w:hint="eastAsia" w:ascii="仿宋_GB2312" w:hAnsi="宋体" w:eastAsia="仿宋_GB2312"/>
          <w:sz w:val="32"/>
          <w:szCs w:val="32"/>
          <w:lang w:val="zh-CN"/>
        </w:rPr>
        <w:t>。</w:t>
      </w:r>
    </w:p>
    <w:p w14:paraId="096278B1">
      <w:pPr>
        <w:pStyle w:val="31"/>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1003" w:leftChars="0" w:firstLine="643" w:firstLineChars="200"/>
        <w:jc w:val="left"/>
        <w:textAlignment w:val="auto"/>
        <w:rPr>
          <w:rFonts w:hint="eastAsia" w:ascii="仿宋_GB2312" w:hAnsi="宋体" w:eastAsia="仿宋_GB2312"/>
          <w:b/>
          <w:sz w:val="32"/>
          <w:szCs w:val="32"/>
          <w:lang w:val="zh-CN"/>
        </w:rPr>
      </w:pPr>
      <w:r>
        <w:rPr>
          <w:rFonts w:hint="eastAsia" w:ascii="仿宋_GB2312" w:hAnsi="宋体" w:eastAsia="仿宋_GB2312" w:cs="Times New Roman"/>
          <w:b/>
          <w:kern w:val="2"/>
          <w:sz w:val="32"/>
          <w:szCs w:val="32"/>
          <w:lang w:val="zh-CN" w:eastAsia="zh-CN" w:bidi="ar-SA"/>
        </w:rPr>
        <w:t>（四）</w:t>
      </w:r>
      <w:r>
        <w:rPr>
          <w:rFonts w:hint="eastAsia" w:ascii="仿宋_GB2312" w:hAnsi="宋体" w:eastAsia="仿宋_GB2312"/>
          <w:b/>
          <w:sz w:val="32"/>
          <w:szCs w:val="32"/>
          <w:lang w:val="zh-CN"/>
        </w:rPr>
        <w:t>精液稀释、分装、贮存与运输</w:t>
      </w:r>
    </w:p>
    <w:p w14:paraId="2C1EA51D">
      <w:pPr>
        <w:keepNext w:val="0"/>
        <w:keepLines w:val="0"/>
        <w:pageBreakBefore w:val="0"/>
        <w:kinsoku/>
        <w:overflowPunct/>
        <w:topLinePunct w:val="0"/>
        <w:bidi w:val="0"/>
        <w:snapToGrid/>
        <w:ind w:left="0" w:firstLine="640" w:firstLineChars="200"/>
        <w:rPr>
          <w:rFonts w:hint="eastAsia" w:ascii="仿宋_GB2312" w:hAnsi="宋体" w:eastAsia="仿宋_GB2312"/>
          <w:sz w:val="32"/>
          <w:szCs w:val="32"/>
          <w:lang w:val="zh-CN"/>
        </w:rPr>
      </w:pPr>
      <w:r>
        <w:rPr>
          <w:rFonts w:hint="eastAsia" w:ascii="仿宋_GB2312" w:hAnsi="宋体" w:eastAsia="仿宋_GB2312" w:cs="Times New Roman"/>
          <w:b w:val="0"/>
          <w:bCs/>
          <w:kern w:val="2"/>
          <w:sz w:val="32"/>
          <w:szCs w:val="32"/>
          <w:lang w:val="zh-CN" w:eastAsia="zh-CN" w:bidi="ar-SA"/>
        </w:rPr>
        <w:t>精液稀释、分装、贮存与运输</w:t>
      </w:r>
      <w:r>
        <w:rPr>
          <w:rFonts w:hint="eastAsia" w:ascii="仿宋_GB2312" w:hAnsi="宋体" w:cs="Times New Roman"/>
          <w:b w:val="0"/>
          <w:bCs/>
          <w:kern w:val="2"/>
          <w:sz w:val="32"/>
          <w:szCs w:val="32"/>
          <w:lang w:val="en-US" w:eastAsia="zh-CN" w:bidi="ar-SA"/>
        </w:rPr>
        <w:t>按</w:t>
      </w:r>
      <w:r>
        <w:rPr>
          <w:rFonts w:hint="eastAsia" w:ascii="仿宋_GB2312" w:hAnsi="宋体"/>
          <w:sz w:val="32"/>
          <w:szCs w:val="32"/>
          <w:lang w:val="en-US" w:eastAsia="zh-CN"/>
        </w:rPr>
        <w:t xml:space="preserve">《NY/T 636  </w:t>
      </w:r>
      <w:r>
        <w:rPr>
          <w:rFonts w:hint="eastAsia"/>
        </w:rPr>
        <w:t>猪人工授精技术规程</w:t>
      </w:r>
      <w:r>
        <w:rPr>
          <w:rFonts w:hint="eastAsia"/>
          <w:lang w:eastAsia="zh-CN"/>
        </w:rPr>
        <w:t>》</w:t>
      </w:r>
      <w:r>
        <w:rPr>
          <w:rFonts w:hint="eastAsia"/>
          <w:lang w:val="en-US" w:eastAsia="zh-CN"/>
        </w:rPr>
        <w:t>中的要求执行</w:t>
      </w:r>
      <w:r>
        <w:rPr>
          <w:rFonts w:hint="eastAsia" w:ascii="仿宋_GB2312" w:hAnsi="宋体" w:eastAsia="仿宋_GB2312"/>
          <w:sz w:val="32"/>
          <w:szCs w:val="32"/>
          <w:lang w:val="zh-CN"/>
        </w:rPr>
        <w:t>。</w:t>
      </w:r>
    </w:p>
    <w:p w14:paraId="24699975">
      <w:pPr>
        <w:pStyle w:val="2"/>
        <w:rPr>
          <w:rFonts w:hint="eastAsia"/>
          <w:lang w:val="en-US" w:eastAsia="zh-CN"/>
        </w:rPr>
      </w:pPr>
      <w:r>
        <w:rPr>
          <w:rFonts w:hint="eastAsia"/>
          <w:lang w:val="en-US" w:eastAsia="zh-CN"/>
        </w:rPr>
        <w:t>对于冷冻精液，2019年至2024年，广西壮族自治区畜禽品种改良站团队开展广西地方猪的品种遗传材料收集保存工作。针对不同猪品种，探索优化出各个种畜遗传材料采集方法和冻存工艺。收集保存巴马香猪、环江香猪、陆川猪、东山猪、德保猪、隆林猪、桂中花猪等7个广西地方品种猪精液冻存共13万余支，抢救性保护我区地方家畜种质资源取得初步成效，为将来深入利用和开发地方畜禽优秀遗传资源奠定了种质资源基础。</w:t>
      </w:r>
    </w:p>
    <w:p w14:paraId="257C6649">
      <w:pPr>
        <w:pStyle w:val="2"/>
        <w:rPr>
          <w:rFonts w:hint="eastAsia"/>
          <w:lang w:val="en-US" w:eastAsia="zh-CN"/>
        </w:rPr>
      </w:pPr>
      <w:r>
        <w:rPr>
          <w:rFonts w:hint="eastAsia"/>
          <w:lang w:val="en-US" w:eastAsia="zh-CN"/>
        </w:rPr>
        <w:t>在繁殖生理上发表的《广西四个地方猪的精液品质分析》，对精液的采集、冷冻精液解冻、冷冻精液质量检测等步骤，并对冷冻精液品质合格率进行分析。</w:t>
      </w:r>
    </w:p>
    <w:p w14:paraId="0FF2A0D9">
      <w:pPr>
        <w:pStyle w:val="2"/>
        <w:ind w:left="0" w:leftChars="0" w:firstLine="0" w:firstLineChars="0"/>
        <w:jc w:val="both"/>
      </w:pPr>
      <w:r>
        <w:drawing>
          <wp:inline distT="0" distB="0" distL="114300" distR="114300">
            <wp:extent cx="5685790" cy="1553210"/>
            <wp:effectExtent l="0" t="0" r="1016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685790" cy="1553210"/>
                    </a:xfrm>
                    <a:prstGeom prst="rect">
                      <a:avLst/>
                    </a:prstGeom>
                    <a:noFill/>
                    <a:ln>
                      <a:noFill/>
                    </a:ln>
                  </pic:spPr>
                </pic:pic>
              </a:graphicData>
            </a:graphic>
          </wp:inline>
        </w:drawing>
      </w:r>
    </w:p>
    <w:p w14:paraId="10A50579">
      <w:pPr>
        <w:pStyle w:val="31"/>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1003" w:leftChars="0" w:firstLine="560" w:firstLineChars="200"/>
        <w:jc w:val="center"/>
        <w:textAlignment w:val="auto"/>
        <w:rPr>
          <w:rFonts w:hint="eastAsia" w:ascii="仿宋_GB2312" w:hAnsi="宋体" w:cs="Times New Roman"/>
          <w:b w:val="0"/>
          <w:bCs/>
          <w:kern w:val="2"/>
          <w:sz w:val="28"/>
          <w:szCs w:val="28"/>
          <w:lang w:val="en-US" w:eastAsia="zh-CN" w:bidi="ar-SA"/>
        </w:rPr>
      </w:pPr>
      <w:r>
        <w:rPr>
          <w:rFonts w:hint="eastAsia" w:ascii="仿宋_GB2312" w:hAnsi="宋体" w:cs="Times New Roman"/>
          <w:b w:val="0"/>
          <w:bCs/>
          <w:kern w:val="2"/>
          <w:sz w:val="28"/>
          <w:szCs w:val="28"/>
          <w:lang w:val="en-US" w:eastAsia="zh-CN" w:bidi="ar-SA"/>
        </w:rPr>
        <w:t>来源：繁殖生理，广西四个地方猪的精液品质分析</w:t>
      </w:r>
    </w:p>
    <w:p w14:paraId="40C50225">
      <w:pPr>
        <w:pStyle w:val="31"/>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1003" w:leftChars="0" w:firstLine="643" w:firstLineChars="200"/>
        <w:jc w:val="left"/>
        <w:textAlignment w:val="auto"/>
        <w:rPr>
          <w:rFonts w:ascii="仿宋_GB2312" w:hAnsi="宋体" w:eastAsia="仿宋_GB2312"/>
          <w:b/>
          <w:sz w:val="32"/>
          <w:szCs w:val="32"/>
          <w:lang w:val="zh-CN"/>
        </w:rPr>
      </w:pPr>
      <w:r>
        <w:rPr>
          <w:rFonts w:hint="eastAsia" w:ascii="仿宋_GB2312" w:hAnsi="宋体" w:eastAsia="仿宋_GB2312" w:cs="Times New Roman"/>
          <w:b/>
          <w:kern w:val="2"/>
          <w:sz w:val="32"/>
          <w:szCs w:val="32"/>
          <w:lang w:val="zh-CN" w:eastAsia="zh-CN" w:bidi="ar-SA"/>
        </w:rPr>
        <w:t>（五）</w:t>
      </w:r>
      <w:r>
        <w:rPr>
          <w:rFonts w:hint="eastAsia" w:ascii="仿宋_GB2312" w:hAnsi="宋体" w:eastAsia="仿宋_GB2312"/>
          <w:b/>
          <w:sz w:val="32"/>
          <w:szCs w:val="32"/>
          <w:lang w:val="zh-CN"/>
        </w:rPr>
        <w:t>授精操作</w:t>
      </w:r>
    </w:p>
    <w:p w14:paraId="18FD4045">
      <w:pPr>
        <w:pStyle w:val="31"/>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宋体" w:cs="Times New Roman"/>
          <w:b w:val="0"/>
          <w:bCs/>
          <w:kern w:val="2"/>
          <w:sz w:val="32"/>
          <w:szCs w:val="32"/>
          <w:lang w:val="en-US" w:eastAsia="zh-CN" w:bidi="ar-SA"/>
        </w:rPr>
      </w:pPr>
      <w:r>
        <w:rPr>
          <w:rFonts w:hint="eastAsia" w:ascii="仿宋_GB2312" w:hAnsi="宋体" w:cs="Times New Roman"/>
          <w:b w:val="0"/>
          <w:bCs/>
          <w:kern w:val="2"/>
          <w:sz w:val="32"/>
          <w:szCs w:val="32"/>
          <w:lang w:val="en-US" w:eastAsia="zh-CN" w:bidi="ar-SA"/>
        </w:rPr>
        <w:t>5.1母猪发情鉴定</w:t>
      </w:r>
    </w:p>
    <w:p w14:paraId="67155E95">
      <w:pPr>
        <w:pStyle w:val="31"/>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jc w:val="left"/>
        <w:textAlignment w:val="auto"/>
        <w:rPr>
          <w:rFonts w:hint="eastAsia"/>
          <w:lang w:val="en-US" w:eastAsia="zh-CN"/>
        </w:rPr>
      </w:pPr>
      <w:r>
        <w:rPr>
          <w:rFonts w:hint="eastAsia" w:ascii="仿宋_GB2312" w:hAnsi="宋体" w:cs="Times New Roman"/>
          <w:b w:val="0"/>
          <w:bCs/>
          <w:kern w:val="2"/>
          <w:sz w:val="32"/>
          <w:szCs w:val="32"/>
          <w:lang w:val="en-US" w:eastAsia="zh-CN" w:bidi="ar-SA"/>
        </w:rPr>
        <w:t>根据以废止地方标准</w:t>
      </w:r>
      <w:r>
        <w:rPr>
          <w:rFonts w:hint="eastAsia" w:ascii="仿宋_GB2312" w:hAnsi="宋体"/>
          <w:sz w:val="32"/>
          <w:szCs w:val="32"/>
          <w:highlight w:val="none"/>
          <w:lang w:val="zh-CN"/>
        </w:rPr>
        <w:t>《DB45/T 529—2008  猪人工授精技术操作规程》，</w:t>
      </w:r>
      <w:r>
        <w:rPr>
          <w:rFonts w:hint="eastAsia" w:ascii="仿宋_GB2312" w:hAnsi="宋体" w:cs="Times New Roman"/>
          <w:b w:val="0"/>
          <w:bCs/>
          <w:kern w:val="2"/>
          <w:sz w:val="32"/>
          <w:szCs w:val="32"/>
          <w:lang w:val="en-US" w:eastAsia="zh-CN" w:bidi="ar-SA"/>
        </w:rPr>
        <w:t>针对各发情周期母猪活动表现、外阴变化、叫声等情况进行了总结，具有广泛适用性，在近几年各规模化养殖场猪人工授精上得到了很好应用。在此基础上，结合现代智能化设备发展，构建智能传感器网络对母猪</w:t>
      </w:r>
      <w:r>
        <w:rPr>
          <w:rFonts w:hint="eastAsia"/>
        </w:rPr>
        <w:t>温度、运动量、叫声强度</w:t>
      </w:r>
      <w:r>
        <w:rPr>
          <w:rFonts w:hint="eastAsia"/>
          <w:lang w:val="en-US" w:eastAsia="zh-CN"/>
        </w:rPr>
        <w:t>等指标进行实时检测，有效提高了母猪发情鉴定效率和准确性。</w:t>
      </w:r>
    </w:p>
    <w:p w14:paraId="79C3E5D1">
      <w:pPr>
        <w:pStyle w:val="31"/>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jc w:val="left"/>
        <w:textAlignment w:val="auto"/>
        <w:rPr>
          <w:rFonts w:hint="default" w:ascii="仿宋_GB2312" w:hAnsi="宋体" w:eastAsia="仿宋_GB2312" w:cs="Times New Roman"/>
          <w:b w:val="0"/>
          <w:bCs/>
          <w:kern w:val="2"/>
          <w:sz w:val="32"/>
          <w:szCs w:val="32"/>
          <w:lang w:val="en-US" w:eastAsia="zh-CN" w:bidi="ar-SA"/>
        </w:rPr>
      </w:pPr>
      <w:r>
        <w:rPr>
          <w:rFonts w:hint="eastAsia"/>
          <w:lang w:val="en-US" w:eastAsia="zh-CN"/>
        </w:rPr>
        <w:t>通过红外热成像仪实时监测外阴部皮肤温度，发情期温度较非发情期升高0.3-0.5℃，通过温度阈值触发预警。深度相机利用3D视觉技术捕捉外阴体积变化，发情期外阴直径增加30%-50%。加速度传感器记录母猪活动量，发情期运动频率提升5-8倍。声纹识别装置：分析高频叫声频率，发情期特定声纹出现频率增加40%。集成温湿度传感器、氨气浓度监测模块，动态调整查情模型参数。例如，当环境温度超过28℃时，自动修正发情行为判定阈值。</w:t>
      </w:r>
    </w:p>
    <w:p w14:paraId="0E2BEEC9">
      <w:pPr>
        <w:pStyle w:val="31"/>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宋体" w:cs="Times New Roman"/>
          <w:b w:val="0"/>
          <w:bCs/>
          <w:kern w:val="2"/>
          <w:sz w:val="32"/>
          <w:szCs w:val="32"/>
          <w:lang w:val="en-US" w:eastAsia="zh-CN" w:bidi="ar-SA"/>
        </w:rPr>
      </w:pPr>
      <w:r>
        <w:rPr>
          <w:rFonts w:hint="eastAsia" w:ascii="仿宋_GB2312" w:hAnsi="宋体" w:cs="Times New Roman"/>
          <w:b w:val="0"/>
          <w:bCs/>
          <w:kern w:val="2"/>
          <w:sz w:val="32"/>
          <w:szCs w:val="32"/>
          <w:lang w:val="en-US" w:eastAsia="zh-CN" w:bidi="ar-SA"/>
        </w:rPr>
        <w:t>5.2输精时间选择</w:t>
      </w:r>
    </w:p>
    <w:p w14:paraId="27D53A37">
      <w:pPr>
        <w:pStyle w:val="31"/>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jc w:val="left"/>
        <w:textAlignment w:val="auto"/>
        <w:rPr>
          <w:rFonts w:hint="default"/>
          <w:lang w:val="en-US" w:eastAsia="zh-CN"/>
        </w:rPr>
      </w:pPr>
      <w:r>
        <w:rPr>
          <w:rFonts w:hint="eastAsia" w:ascii="仿宋_GB2312" w:hAnsi="宋体" w:cs="Times New Roman"/>
          <w:b w:val="0"/>
          <w:bCs/>
          <w:kern w:val="2"/>
          <w:sz w:val="32"/>
          <w:szCs w:val="32"/>
          <w:lang w:val="en-US" w:eastAsia="zh-CN" w:bidi="ar-SA"/>
        </w:rPr>
        <w:t>对于普通输精模式，母猪输精时间相对固定，按照</w:t>
      </w:r>
      <w:r>
        <w:rPr>
          <w:rFonts w:hint="eastAsia" w:ascii="仿宋_GB2312" w:hAnsi="宋体"/>
          <w:sz w:val="32"/>
          <w:szCs w:val="32"/>
          <w:lang w:val="en-US" w:eastAsia="zh-CN"/>
        </w:rPr>
        <w:t xml:space="preserve">《NY/T 636  </w:t>
      </w:r>
      <w:r>
        <w:rPr>
          <w:rFonts w:hint="eastAsia"/>
        </w:rPr>
        <w:t>猪人工授精技术规程</w:t>
      </w:r>
      <w:r>
        <w:rPr>
          <w:rFonts w:hint="eastAsia"/>
          <w:lang w:eastAsia="zh-CN"/>
        </w:rPr>
        <w:t>》</w:t>
      </w:r>
      <w:r>
        <w:rPr>
          <w:rFonts w:hint="eastAsia"/>
          <w:lang w:val="en-US" w:eastAsia="zh-CN"/>
        </w:rPr>
        <w:t>中的要求执行。对于批次化输精模式，要保证母猪同时期发情才能具备批次化输精条件。通过断奶解除催乳素对下丘脑的抑制，促进GnRH释放，进而引发发情排卵。留栏猪、后备猪饲喂烯丙孕素18d，停药后4d～6d天与断奶母猪同步发情并入输精批次。</w:t>
      </w:r>
    </w:p>
    <w:p w14:paraId="19959A67">
      <w:pPr>
        <w:pStyle w:val="31"/>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jc w:val="left"/>
        <w:textAlignment w:val="auto"/>
        <w:rPr>
          <w:rFonts w:hint="default" w:ascii="仿宋_GB2312" w:hAnsi="宋体" w:cs="Times New Roman"/>
          <w:b w:val="0"/>
          <w:bCs/>
          <w:kern w:val="2"/>
          <w:sz w:val="32"/>
          <w:szCs w:val="32"/>
          <w:lang w:val="en-US" w:eastAsia="zh-CN" w:bidi="ar-SA"/>
        </w:rPr>
      </w:pPr>
      <w:r>
        <w:rPr>
          <w:rFonts w:hint="eastAsia" w:ascii="仿宋_GB2312" w:hAnsi="宋体" w:cs="Times New Roman"/>
          <w:b w:val="0"/>
          <w:bCs/>
          <w:kern w:val="2"/>
          <w:sz w:val="32"/>
          <w:szCs w:val="32"/>
          <w:lang w:val="en-US" w:eastAsia="zh-CN" w:bidi="ar-SA"/>
        </w:rPr>
        <w:t>5.3输精准备</w:t>
      </w:r>
    </w:p>
    <w:p w14:paraId="6E8483A9">
      <w:pPr>
        <w:pStyle w:val="31"/>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jc w:val="left"/>
        <w:textAlignment w:val="auto"/>
        <w:rPr>
          <w:rFonts w:hint="eastAsia"/>
          <w:lang w:val="en-US" w:eastAsia="zh-CN"/>
        </w:rPr>
      </w:pPr>
      <w:r>
        <w:rPr>
          <w:rFonts w:hint="eastAsia" w:ascii="仿宋_GB2312" w:hAnsi="宋体" w:cs="Times New Roman"/>
          <w:b w:val="0"/>
          <w:bCs/>
          <w:kern w:val="2"/>
          <w:sz w:val="32"/>
          <w:szCs w:val="32"/>
          <w:lang w:val="en-US" w:eastAsia="zh-CN" w:bidi="ar-SA"/>
        </w:rPr>
        <w:t>按</w:t>
      </w:r>
      <w:r>
        <w:rPr>
          <w:rFonts w:hint="eastAsia" w:ascii="仿宋_GB2312" w:hAnsi="宋体"/>
          <w:sz w:val="32"/>
          <w:szCs w:val="32"/>
          <w:lang w:val="en-US" w:eastAsia="zh-CN"/>
        </w:rPr>
        <w:t xml:space="preserve">《NY/T 636  </w:t>
      </w:r>
      <w:r>
        <w:rPr>
          <w:rFonts w:hint="eastAsia"/>
        </w:rPr>
        <w:t>猪人工授精技术规程</w:t>
      </w:r>
      <w:r>
        <w:rPr>
          <w:rFonts w:hint="eastAsia"/>
          <w:lang w:eastAsia="zh-CN"/>
        </w:rPr>
        <w:t>》</w:t>
      </w:r>
      <w:r>
        <w:rPr>
          <w:rFonts w:hint="eastAsia"/>
          <w:lang w:val="en-US" w:eastAsia="zh-CN"/>
        </w:rPr>
        <w:t>中的要求执行，对于冷冻精液输精前还需进行解冻并检测精子活力。2019年至2024年起草单位收集保存巴马香猪、环江香猪、陆川猪、东山猪、德保猪、隆林猪、桂中花猪等7个广西地方品种猪精液冻存共13万余支，基于多年冷冻精液制作经验，结合《广西四个地方猪的精液品质分析》《广西东山猪的冷冻精液制作要点》的内容，总结了冷冻精液处理方法。</w:t>
      </w:r>
    </w:p>
    <w:p w14:paraId="4FCA945A">
      <w:pPr>
        <w:pStyle w:val="31"/>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jc w:val="left"/>
        <w:textAlignment w:val="auto"/>
        <w:rPr>
          <w:rFonts w:hint="eastAsia"/>
          <w:lang w:val="en-US" w:eastAsia="zh-CN"/>
        </w:rPr>
      </w:pPr>
      <w:r>
        <w:rPr>
          <w:rFonts w:hint="eastAsia"/>
          <w:lang w:val="en-US" w:eastAsia="zh-CN"/>
        </w:rPr>
        <w:t>5.4母猪消毒</w:t>
      </w:r>
    </w:p>
    <w:p w14:paraId="0A0F0148">
      <w:pPr>
        <w:pStyle w:val="31"/>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jc w:val="left"/>
        <w:textAlignment w:val="auto"/>
        <w:rPr>
          <w:rFonts w:hint="eastAsia"/>
          <w:lang w:val="en-US" w:eastAsia="zh-CN"/>
        </w:rPr>
      </w:pPr>
      <w:r>
        <w:rPr>
          <w:rFonts w:hint="default"/>
          <w:lang w:val="en-US" w:eastAsia="zh-CN"/>
        </w:rPr>
        <w:t>用浓度为0.1％的高锰酸钾清洗母猪外阴、尾根及臀部周围并擦拭干净</w:t>
      </w:r>
      <w:r>
        <w:rPr>
          <w:rFonts w:hint="eastAsia"/>
          <w:lang w:val="en-US" w:eastAsia="zh-CN"/>
        </w:rPr>
        <w:t>，避免输精过程污染。</w:t>
      </w:r>
    </w:p>
    <w:p w14:paraId="749D2772">
      <w:pPr>
        <w:pStyle w:val="31"/>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jc w:val="left"/>
        <w:textAlignment w:val="auto"/>
        <w:rPr>
          <w:rFonts w:hint="eastAsia"/>
          <w:lang w:val="en-US" w:eastAsia="zh-CN"/>
        </w:rPr>
      </w:pPr>
      <w:r>
        <w:rPr>
          <w:rFonts w:hint="eastAsia"/>
          <w:lang w:val="en-US" w:eastAsia="zh-CN"/>
        </w:rPr>
        <w:t>5.5输精</w:t>
      </w:r>
    </w:p>
    <w:p w14:paraId="48101DB6">
      <w:pPr>
        <w:pStyle w:val="31"/>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jc w:val="left"/>
        <w:textAlignment w:val="auto"/>
        <w:rPr>
          <w:rFonts w:hint="eastAsia"/>
          <w:lang w:val="en-US" w:eastAsia="zh-CN"/>
        </w:rPr>
      </w:pPr>
      <w:r>
        <w:rPr>
          <w:rFonts w:hint="eastAsia"/>
          <w:lang w:val="en-US" w:eastAsia="zh-CN"/>
        </w:rPr>
        <w:t>输精方法按照</w:t>
      </w:r>
      <w:r>
        <w:rPr>
          <w:rFonts w:hint="eastAsia" w:ascii="仿宋_GB2312" w:hAnsi="宋体"/>
          <w:sz w:val="32"/>
          <w:szCs w:val="32"/>
          <w:lang w:val="en-US" w:eastAsia="zh-CN"/>
        </w:rPr>
        <w:t xml:space="preserve">《NY/T 636  </w:t>
      </w:r>
      <w:r>
        <w:rPr>
          <w:rFonts w:hint="eastAsia"/>
        </w:rPr>
        <w:t>猪人工授精技术规程</w:t>
      </w:r>
      <w:r>
        <w:rPr>
          <w:rFonts w:hint="eastAsia"/>
          <w:lang w:eastAsia="zh-CN"/>
        </w:rPr>
        <w:t>》</w:t>
      </w:r>
      <w:r>
        <w:rPr>
          <w:rFonts w:hint="eastAsia"/>
          <w:lang w:val="en-US" w:eastAsia="zh-CN"/>
        </w:rPr>
        <w:t>中的要求执行，对于批次化输精需要提前制定输精计划，根据输精母猪头数准备所需材料以及人员数量，各环节安排专人负责，保证输精流程顺利进行。</w:t>
      </w:r>
    </w:p>
    <w:p w14:paraId="13C719F6">
      <w:pPr>
        <w:pStyle w:val="31"/>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宋体" w:cs="Times New Roman"/>
          <w:b w:val="0"/>
          <w:bCs/>
          <w:kern w:val="2"/>
          <w:sz w:val="32"/>
          <w:szCs w:val="32"/>
          <w:lang w:val="en-US" w:eastAsia="zh-CN" w:bidi="ar-SA"/>
        </w:rPr>
      </w:pPr>
      <w:r>
        <w:rPr>
          <w:rFonts w:hint="eastAsia" w:ascii="仿宋_GB2312" w:hAnsi="宋体" w:cs="Times New Roman"/>
          <w:b w:val="0"/>
          <w:bCs/>
          <w:kern w:val="2"/>
          <w:sz w:val="32"/>
          <w:szCs w:val="32"/>
          <w:lang w:val="en-US" w:eastAsia="zh-CN" w:bidi="ar-SA"/>
        </w:rPr>
        <w:t>起草单位针对常规输精和深度输精两种方法的输精质量，起草单位做了大量实践验证，对两种输精方式对经产母猪受胎率和分娩率影响以及对经产母猪产仔影响进行了分析，结果见表1和表2。</w:t>
      </w:r>
    </w:p>
    <w:p w14:paraId="65E752CB">
      <w:pPr>
        <w:widowControl/>
        <w:spacing w:line="460" w:lineRule="exact"/>
        <w:ind w:left="0" w:leftChars="0" w:firstLine="0" w:firstLineChars="0"/>
        <w:jc w:val="center"/>
        <w:rPr>
          <w:rFonts w:hint="eastAsia" w:ascii="仿宋_GB2312" w:hAnsi="宋体" w:eastAsia="仿宋_GB2312" w:cs="Times New Roman"/>
          <w:b w:val="0"/>
          <w:bCs/>
          <w:kern w:val="2"/>
          <w:sz w:val="28"/>
          <w:szCs w:val="28"/>
          <w:lang w:val="en-US" w:eastAsia="zh-CN" w:bidi="ar-SA"/>
        </w:rPr>
      </w:pPr>
      <w:r>
        <w:rPr>
          <w:rFonts w:hint="eastAsia" w:ascii="仿宋_GB2312" w:hAnsi="宋体" w:cs="Times New Roman"/>
          <w:b w:val="0"/>
          <w:bCs/>
          <w:kern w:val="2"/>
          <w:sz w:val="28"/>
          <w:szCs w:val="28"/>
          <w:lang w:val="en-US" w:eastAsia="zh-CN" w:bidi="ar-SA"/>
        </w:rPr>
        <w:t>表</w:t>
      </w:r>
      <w:r>
        <w:rPr>
          <w:rFonts w:hint="eastAsia" w:ascii="仿宋_GB2312" w:hAnsi="宋体" w:eastAsia="仿宋_GB2312" w:cs="Times New Roman"/>
          <w:b w:val="0"/>
          <w:bCs/>
          <w:kern w:val="2"/>
          <w:sz w:val="28"/>
          <w:szCs w:val="28"/>
          <w:lang w:val="en-US" w:eastAsia="zh-CN" w:bidi="ar-SA"/>
        </w:rPr>
        <w:t>1</w:t>
      </w:r>
      <w:r>
        <w:rPr>
          <w:rFonts w:hint="eastAsia" w:ascii="仿宋_GB2312" w:hAnsi="宋体" w:cs="Times New Roman"/>
          <w:b w:val="0"/>
          <w:bCs/>
          <w:kern w:val="2"/>
          <w:sz w:val="28"/>
          <w:szCs w:val="28"/>
          <w:lang w:val="en-US" w:eastAsia="zh-CN" w:bidi="ar-SA"/>
        </w:rPr>
        <w:t xml:space="preserve">  </w:t>
      </w:r>
      <w:r>
        <w:rPr>
          <w:rFonts w:hint="eastAsia" w:ascii="仿宋_GB2312" w:hAnsi="宋体" w:eastAsia="仿宋_GB2312" w:cs="Times New Roman"/>
          <w:b w:val="0"/>
          <w:bCs/>
          <w:kern w:val="2"/>
          <w:sz w:val="28"/>
          <w:szCs w:val="28"/>
          <w:lang w:val="en-US" w:eastAsia="zh-CN" w:bidi="ar-SA"/>
        </w:rPr>
        <w:t>两种输精方式对经产母猪受胎率和分娩率的影响</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9"/>
        <w:gridCol w:w="1529"/>
        <w:gridCol w:w="1529"/>
        <w:gridCol w:w="1529"/>
        <w:gridCol w:w="1529"/>
        <w:gridCol w:w="1529"/>
      </w:tblGrid>
      <w:tr w14:paraId="6F3A4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pct"/>
            <w:vAlign w:val="top"/>
          </w:tcPr>
          <w:p w14:paraId="485B03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top"/>
              <w:rPr>
                <w:rFonts w:ascii="仿宋_GB2312" w:hAnsi="仿宋" w:eastAsia="仿宋_GB2312" w:cs="宋体"/>
                <w:kern w:val="0"/>
                <w:sz w:val="24"/>
                <w:szCs w:val="24"/>
                <w:lang w:bidi="ar"/>
              </w:rPr>
            </w:pPr>
            <w:r>
              <w:rPr>
                <w:rStyle w:val="39"/>
                <w:rFonts w:hint="default" w:ascii="仿宋_GB2312" w:hAnsi="仿宋" w:eastAsia="仿宋_GB2312"/>
                <w:sz w:val="24"/>
                <w:szCs w:val="24"/>
                <w:lang w:bidi="ar"/>
              </w:rPr>
              <w:t>项目</w:t>
            </w:r>
          </w:p>
        </w:tc>
        <w:tc>
          <w:tcPr>
            <w:tcW w:w="833" w:type="pct"/>
            <w:vAlign w:val="top"/>
          </w:tcPr>
          <w:p w14:paraId="1D07FCD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top"/>
              <w:rPr>
                <w:rFonts w:hint="default" w:ascii="仿宋_GB2312" w:hAnsi="仿宋" w:eastAsia="仿宋_GB2312" w:cs="宋体"/>
                <w:kern w:val="0"/>
                <w:sz w:val="24"/>
                <w:szCs w:val="24"/>
                <w:lang w:val="en-US" w:eastAsia="zh-CN" w:bidi="ar"/>
              </w:rPr>
            </w:pPr>
            <w:r>
              <w:rPr>
                <w:rStyle w:val="39"/>
                <w:rFonts w:hint="default" w:ascii="仿宋_GB2312" w:hAnsi="仿宋" w:eastAsia="仿宋_GB2312"/>
                <w:sz w:val="24"/>
                <w:szCs w:val="24"/>
                <w:lang w:bidi="ar"/>
              </w:rPr>
              <w:t>配种头数</w:t>
            </w:r>
          </w:p>
        </w:tc>
        <w:tc>
          <w:tcPr>
            <w:tcW w:w="833" w:type="pct"/>
            <w:vAlign w:val="top"/>
          </w:tcPr>
          <w:p w14:paraId="7809980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top"/>
              <w:rPr>
                <w:rFonts w:hint="default" w:ascii="仿宋_GB2312" w:hAnsi="仿宋" w:eastAsia="仿宋_GB2312" w:cs="宋体"/>
                <w:kern w:val="0"/>
                <w:sz w:val="24"/>
                <w:szCs w:val="24"/>
                <w:lang w:val="en-US" w:eastAsia="zh-CN" w:bidi="ar"/>
              </w:rPr>
            </w:pPr>
            <w:r>
              <w:rPr>
                <w:rStyle w:val="39"/>
                <w:rFonts w:hint="default" w:ascii="仿宋_GB2312" w:hAnsi="仿宋" w:eastAsia="仿宋_GB2312"/>
                <w:sz w:val="24"/>
                <w:szCs w:val="24"/>
                <w:lang w:bidi="ar"/>
              </w:rPr>
              <w:t>妊娠头数</w:t>
            </w:r>
          </w:p>
        </w:tc>
        <w:tc>
          <w:tcPr>
            <w:tcW w:w="833" w:type="pct"/>
            <w:vAlign w:val="top"/>
          </w:tcPr>
          <w:p w14:paraId="4E07635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top"/>
              <w:rPr>
                <w:rFonts w:hint="eastAsia" w:ascii="仿宋_GB2312" w:hAnsi="仿宋" w:eastAsia="仿宋_GB2312" w:cs="宋体"/>
                <w:kern w:val="0"/>
                <w:sz w:val="24"/>
                <w:szCs w:val="24"/>
                <w:lang w:val="en-US" w:eastAsia="zh-CN" w:bidi="ar"/>
              </w:rPr>
            </w:pPr>
            <w:r>
              <w:rPr>
                <w:rStyle w:val="39"/>
                <w:rFonts w:hint="default" w:ascii="仿宋_GB2312" w:hAnsi="仿宋" w:eastAsia="仿宋_GB2312"/>
                <w:sz w:val="24"/>
                <w:szCs w:val="24"/>
                <w:lang w:bidi="ar"/>
              </w:rPr>
              <w:t>受胎率</w:t>
            </w:r>
            <w:r>
              <w:rPr>
                <w:rStyle w:val="39"/>
                <w:rFonts w:hint="eastAsia" w:ascii="仿宋_GB2312" w:hAnsi="仿宋"/>
                <w:sz w:val="24"/>
                <w:szCs w:val="24"/>
                <w:lang w:val="en-US" w:eastAsia="zh-CN" w:bidi="ar"/>
              </w:rPr>
              <w:t>/</w:t>
            </w:r>
            <w:r>
              <w:rPr>
                <w:rFonts w:hint="eastAsia" w:ascii="仿宋_GB2312" w:hAnsi="仿宋" w:eastAsia="仿宋_GB2312" w:cs="宋体"/>
                <w:kern w:val="0"/>
                <w:sz w:val="24"/>
                <w:szCs w:val="24"/>
                <w:lang w:bidi="ar"/>
              </w:rPr>
              <w:t>%</w:t>
            </w:r>
          </w:p>
        </w:tc>
        <w:tc>
          <w:tcPr>
            <w:tcW w:w="833" w:type="pct"/>
            <w:vAlign w:val="top"/>
          </w:tcPr>
          <w:p w14:paraId="0015F79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top"/>
              <w:rPr>
                <w:rFonts w:hint="default" w:ascii="仿宋_GB2312" w:hAnsi="仿宋" w:eastAsia="仿宋_GB2312" w:cs="宋体"/>
                <w:kern w:val="0"/>
                <w:sz w:val="24"/>
                <w:szCs w:val="24"/>
                <w:lang w:val="en-US" w:eastAsia="zh-CN" w:bidi="ar"/>
              </w:rPr>
            </w:pPr>
            <w:r>
              <w:rPr>
                <w:rStyle w:val="39"/>
                <w:rFonts w:hint="default" w:ascii="仿宋_GB2312" w:hAnsi="仿宋" w:eastAsia="仿宋_GB2312"/>
                <w:sz w:val="24"/>
                <w:szCs w:val="24"/>
                <w:lang w:bidi="ar"/>
              </w:rPr>
              <w:t>分娩头数</w:t>
            </w:r>
          </w:p>
        </w:tc>
        <w:tc>
          <w:tcPr>
            <w:tcW w:w="833" w:type="pct"/>
            <w:vAlign w:val="top"/>
          </w:tcPr>
          <w:p w14:paraId="23E85CC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top"/>
              <w:rPr>
                <w:rFonts w:hint="eastAsia" w:ascii="仿宋_GB2312" w:hAnsi="仿宋" w:eastAsia="仿宋_GB2312" w:cs="宋体"/>
                <w:kern w:val="0"/>
                <w:sz w:val="24"/>
                <w:szCs w:val="24"/>
                <w:lang w:val="en-US" w:eastAsia="zh-CN" w:bidi="ar"/>
              </w:rPr>
            </w:pPr>
            <w:r>
              <w:rPr>
                <w:rFonts w:hint="eastAsia" w:ascii="仿宋_GB2312" w:hAnsi="仿宋" w:eastAsia="仿宋_GB2312" w:cs="宋体"/>
                <w:kern w:val="0"/>
                <w:sz w:val="24"/>
                <w:szCs w:val="24"/>
                <w:lang w:bidi="ar"/>
              </w:rPr>
              <w:t>分娩率</w:t>
            </w:r>
            <w:r>
              <w:rPr>
                <w:rFonts w:hint="eastAsia" w:ascii="仿宋_GB2312" w:hAnsi="仿宋" w:cs="宋体"/>
                <w:kern w:val="0"/>
                <w:sz w:val="24"/>
                <w:szCs w:val="24"/>
                <w:lang w:val="en-US" w:eastAsia="zh-CN" w:bidi="ar"/>
              </w:rPr>
              <w:t>/</w:t>
            </w:r>
            <w:r>
              <w:rPr>
                <w:rFonts w:hint="eastAsia" w:ascii="仿宋_GB2312" w:hAnsi="仿宋" w:eastAsia="仿宋_GB2312" w:cs="宋体"/>
                <w:kern w:val="0"/>
                <w:sz w:val="24"/>
                <w:szCs w:val="24"/>
                <w:lang w:bidi="ar"/>
              </w:rPr>
              <w:t>%</w:t>
            </w:r>
          </w:p>
        </w:tc>
      </w:tr>
      <w:tr w14:paraId="55FB3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pct"/>
            <w:vAlign w:val="top"/>
          </w:tcPr>
          <w:p w14:paraId="4AF9474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top"/>
              <w:rPr>
                <w:rFonts w:ascii="仿宋_GB2312" w:hAnsi="仿宋" w:eastAsia="仿宋_GB2312" w:cs="宋体"/>
                <w:kern w:val="0"/>
                <w:sz w:val="24"/>
                <w:szCs w:val="24"/>
                <w:lang w:bidi="ar"/>
              </w:rPr>
            </w:pPr>
            <w:r>
              <w:rPr>
                <w:rStyle w:val="39"/>
                <w:rFonts w:hint="default" w:ascii="仿宋_GB2312" w:hAnsi="仿宋" w:eastAsia="仿宋_GB2312"/>
                <w:sz w:val="24"/>
                <w:szCs w:val="24"/>
                <w:lang w:bidi="ar"/>
              </w:rPr>
              <w:t>常规输精</w:t>
            </w:r>
          </w:p>
        </w:tc>
        <w:tc>
          <w:tcPr>
            <w:tcW w:w="833" w:type="pct"/>
            <w:vAlign w:val="top"/>
          </w:tcPr>
          <w:p w14:paraId="0475AA6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top"/>
              <w:rPr>
                <w:rFonts w:ascii="仿宋_GB2312" w:hAnsi="仿宋" w:eastAsia="仿宋_GB2312" w:cs="宋体"/>
                <w:kern w:val="0"/>
                <w:sz w:val="24"/>
                <w:szCs w:val="24"/>
                <w:lang w:bidi="ar"/>
              </w:rPr>
            </w:pPr>
            <w:r>
              <w:rPr>
                <w:rFonts w:hint="eastAsia" w:ascii="仿宋_GB2312" w:hAnsi="仿宋" w:eastAsia="仿宋_GB2312" w:cs="宋体"/>
                <w:kern w:val="0"/>
                <w:sz w:val="24"/>
                <w:szCs w:val="24"/>
                <w:lang w:bidi="ar"/>
              </w:rPr>
              <w:t>2000</w:t>
            </w:r>
          </w:p>
        </w:tc>
        <w:tc>
          <w:tcPr>
            <w:tcW w:w="833" w:type="pct"/>
            <w:vAlign w:val="top"/>
          </w:tcPr>
          <w:p w14:paraId="22F0348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top"/>
              <w:rPr>
                <w:rFonts w:ascii="仿宋_GB2312" w:hAnsi="仿宋" w:eastAsia="仿宋_GB2312" w:cs="宋体"/>
                <w:kern w:val="0"/>
                <w:sz w:val="24"/>
                <w:szCs w:val="24"/>
                <w:lang w:bidi="ar"/>
              </w:rPr>
            </w:pPr>
            <w:r>
              <w:rPr>
                <w:rFonts w:hint="eastAsia" w:ascii="仿宋_GB2312" w:hAnsi="仿宋" w:eastAsia="仿宋_GB2312" w:cs="宋体"/>
                <w:kern w:val="0"/>
                <w:sz w:val="24"/>
                <w:szCs w:val="24"/>
                <w:lang w:bidi="ar"/>
              </w:rPr>
              <w:t>1826</w:t>
            </w:r>
          </w:p>
        </w:tc>
        <w:tc>
          <w:tcPr>
            <w:tcW w:w="833" w:type="pct"/>
            <w:vAlign w:val="top"/>
          </w:tcPr>
          <w:p w14:paraId="76612C3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top"/>
              <w:rPr>
                <w:rFonts w:ascii="仿宋_GB2312" w:hAnsi="仿宋" w:eastAsia="仿宋_GB2312" w:cs="宋体"/>
                <w:kern w:val="0"/>
                <w:sz w:val="24"/>
                <w:szCs w:val="24"/>
                <w:lang w:bidi="ar"/>
              </w:rPr>
            </w:pPr>
            <w:r>
              <w:rPr>
                <w:rFonts w:hint="eastAsia" w:ascii="仿宋_GB2312" w:hAnsi="仿宋" w:eastAsia="仿宋_GB2312" w:cs="宋体"/>
                <w:kern w:val="0"/>
                <w:sz w:val="24"/>
                <w:szCs w:val="24"/>
                <w:lang w:bidi="ar"/>
              </w:rPr>
              <w:t>91.30</w:t>
            </w:r>
          </w:p>
        </w:tc>
        <w:tc>
          <w:tcPr>
            <w:tcW w:w="833" w:type="pct"/>
            <w:vAlign w:val="top"/>
          </w:tcPr>
          <w:p w14:paraId="4D7D7E8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top"/>
              <w:rPr>
                <w:rFonts w:ascii="仿宋_GB2312" w:hAnsi="仿宋" w:eastAsia="仿宋_GB2312" w:cs="宋体"/>
                <w:kern w:val="0"/>
                <w:sz w:val="24"/>
                <w:szCs w:val="24"/>
                <w:lang w:bidi="ar"/>
              </w:rPr>
            </w:pPr>
            <w:r>
              <w:rPr>
                <w:rFonts w:hint="eastAsia" w:ascii="仿宋_GB2312" w:hAnsi="仿宋" w:eastAsia="仿宋_GB2312" w:cs="宋体"/>
                <w:kern w:val="0"/>
                <w:sz w:val="24"/>
                <w:szCs w:val="24"/>
                <w:lang w:bidi="ar"/>
              </w:rPr>
              <w:t>1680</w:t>
            </w:r>
          </w:p>
        </w:tc>
        <w:tc>
          <w:tcPr>
            <w:tcW w:w="833" w:type="pct"/>
            <w:vAlign w:val="top"/>
          </w:tcPr>
          <w:p w14:paraId="7D2565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top"/>
              <w:rPr>
                <w:rFonts w:ascii="仿宋_GB2312" w:hAnsi="仿宋" w:eastAsia="仿宋_GB2312" w:cs="宋体"/>
                <w:kern w:val="0"/>
                <w:sz w:val="24"/>
                <w:szCs w:val="24"/>
                <w:lang w:bidi="ar"/>
              </w:rPr>
            </w:pPr>
            <w:r>
              <w:rPr>
                <w:rFonts w:hint="eastAsia" w:ascii="仿宋_GB2312" w:hAnsi="仿宋" w:eastAsia="仿宋_GB2312" w:cs="宋体"/>
                <w:kern w:val="0"/>
                <w:sz w:val="24"/>
                <w:szCs w:val="24"/>
                <w:lang w:bidi="ar"/>
              </w:rPr>
              <w:t>84.00</w:t>
            </w:r>
          </w:p>
        </w:tc>
      </w:tr>
      <w:tr w14:paraId="6F0C0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pct"/>
            <w:vAlign w:val="top"/>
          </w:tcPr>
          <w:p w14:paraId="2D9E767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top"/>
              <w:rPr>
                <w:rFonts w:ascii="仿宋_GB2312" w:hAnsi="仿宋" w:eastAsia="仿宋_GB2312" w:cs="宋体"/>
                <w:kern w:val="0"/>
                <w:sz w:val="24"/>
                <w:szCs w:val="24"/>
                <w:lang w:bidi="ar"/>
              </w:rPr>
            </w:pPr>
            <w:r>
              <w:rPr>
                <w:rStyle w:val="39"/>
                <w:rFonts w:hint="default" w:ascii="仿宋_GB2312" w:hAnsi="仿宋" w:eastAsia="仿宋_GB2312"/>
                <w:sz w:val="24"/>
                <w:szCs w:val="24"/>
                <w:lang w:bidi="ar"/>
              </w:rPr>
              <w:t>深部输精</w:t>
            </w:r>
          </w:p>
        </w:tc>
        <w:tc>
          <w:tcPr>
            <w:tcW w:w="833" w:type="pct"/>
            <w:vAlign w:val="top"/>
          </w:tcPr>
          <w:p w14:paraId="2A43B15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top"/>
              <w:rPr>
                <w:rFonts w:ascii="仿宋_GB2312" w:hAnsi="仿宋" w:eastAsia="仿宋_GB2312" w:cs="宋体"/>
                <w:kern w:val="0"/>
                <w:sz w:val="24"/>
                <w:szCs w:val="24"/>
                <w:lang w:bidi="ar"/>
              </w:rPr>
            </w:pPr>
            <w:r>
              <w:rPr>
                <w:rFonts w:hint="eastAsia" w:ascii="仿宋_GB2312" w:hAnsi="仿宋" w:eastAsia="仿宋_GB2312" w:cs="宋体"/>
                <w:kern w:val="0"/>
                <w:sz w:val="24"/>
                <w:szCs w:val="24"/>
                <w:lang w:bidi="ar"/>
              </w:rPr>
              <w:t>1800</w:t>
            </w:r>
          </w:p>
        </w:tc>
        <w:tc>
          <w:tcPr>
            <w:tcW w:w="833" w:type="pct"/>
            <w:vAlign w:val="top"/>
          </w:tcPr>
          <w:p w14:paraId="683D3D1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top"/>
              <w:rPr>
                <w:rFonts w:ascii="仿宋_GB2312" w:hAnsi="仿宋" w:eastAsia="仿宋_GB2312" w:cs="宋体"/>
                <w:kern w:val="0"/>
                <w:sz w:val="24"/>
                <w:szCs w:val="24"/>
                <w:lang w:bidi="ar"/>
              </w:rPr>
            </w:pPr>
            <w:r>
              <w:rPr>
                <w:rFonts w:hint="eastAsia" w:ascii="仿宋_GB2312" w:hAnsi="仿宋" w:eastAsia="仿宋_GB2312" w:cs="宋体"/>
                <w:kern w:val="0"/>
                <w:sz w:val="24"/>
                <w:szCs w:val="24"/>
                <w:lang w:bidi="ar"/>
              </w:rPr>
              <w:t>1666</w:t>
            </w:r>
          </w:p>
        </w:tc>
        <w:tc>
          <w:tcPr>
            <w:tcW w:w="833" w:type="pct"/>
            <w:vAlign w:val="top"/>
          </w:tcPr>
          <w:p w14:paraId="039977E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top"/>
              <w:rPr>
                <w:rFonts w:ascii="仿宋_GB2312" w:hAnsi="仿宋" w:eastAsia="仿宋_GB2312" w:cs="宋体"/>
                <w:kern w:val="0"/>
                <w:sz w:val="24"/>
                <w:szCs w:val="24"/>
                <w:lang w:bidi="ar"/>
              </w:rPr>
            </w:pPr>
            <w:r>
              <w:rPr>
                <w:rFonts w:hint="eastAsia" w:ascii="仿宋_GB2312" w:hAnsi="仿宋" w:eastAsia="仿宋_GB2312" w:cs="宋体"/>
                <w:kern w:val="0"/>
                <w:sz w:val="24"/>
                <w:szCs w:val="24"/>
                <w:lang w:bidi="ar"/>
              </w:rPr>
              <w:t>92.56</w:t>
            </w:r>
          </w:p>
        </w:tc>
        <w:tc>
          <w:tcPr>
            <w:tcW w:w="833" w:type="pct"/>
            <w:vAlign w:val="top"/>
          </w:tcPr>
          <w:p w14:paraId="7AE6ED2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top"/>
              <w:rPr>
                <w:rFonts w:ascii="仿宋_GB2312" w:hAnsi="仿宋" w:eastAsia="仿宋_GB2312" w:cs="宋体"/>
                <w:kern w:val="0"/>
                <w:sz w:val="24"/>
                <w:szCs w:val="24"/>
                <w:lang w:bidi="ar"/>
              </w:rPr>
            </w:pPr>
            <w:r>
              <w:rPr>
                <w:rFonts w:hint="eastAsia" w:ascii="仿宋_GB2312" w:hAnsi="仿宋" w:eastAsia="仿宋_GB2312" w:cs="宋体"/>
                <w:kern w:val="0"/>
                <w:sz w:val="24"/>
                <w:szCs w:val="24"/>
                <w:lang w:bidi="ar"/>
              </w:rPr>
              <w:t>1541</w:t>
            </w:r>
          </w:p>
        </w:tc>
        <w:tc>
          <w:tcPr>
            <w:tcW w:w="833" w:type="pct"/>
            <w:vAlign w:val="top"/>
          </w:tcPr>
          <w:p w14:paraId="7F4A82E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top"/>
              <w:rPr>
                <w:rFonts w:ascii="仿宋_GB2312" w:hAnsi="仿宋" w:eastAsia="仿宋_GB2312" w:cs="宋体"/>
                <w:kern w:val="0"/>
                <w:sz w:val="24"/>
                <w:szCs w:val="24"/>
                <w:lang w:bidi="ar"/>
              </w:rPr>
            </w:pPr>
            <w:r>
              <w:rPr>
                <w:rFonts w:hint="eastAsia" w:ascii="仿宋_GB2312" w:hAnsi="仿宋" w:eastAsia="仿宋_GB2312" w:cs="宋体"/>
                <w:kern w:val="0"/>
                <w:sz w:val="24"/>
                <w:szCs w:val="24"/>
                <w:lang w:bidi="ar"/>
              </w:rPr>
              <w:t>85.61</w:t>
            </w:r>
          </w:p>
        </w:tc>
      </w:tr>
    </w:tbl>
    <w:p w14:paraId="543091AB">
      <w:pPr>
        <w:widowControl/>
        <w:spacing w:line="460" w:lineRule="exact"/>
        <w:ind w:firstLine="640" w:firstLineChars="200"/>
        <w:rPr>
          <w:rFonts w:hint="eastAsia" w:ascii="仿宋_GB2312" w:hAnsi="宋体" w:eastAsia="仿宋_GB2312" w:cs="Times New Roman"/>
          <w:b w:val="0"/>
          <w:bCs/>
          <w:kern w:val="2"/>
          <w:sz w:val="32"/>
          <w:szCs w:val="32"/>
          <w:lang w:val="en-US" w:eastAsia="zh-CN" w:bidi="ar-SA"/>
        </w:rPr>
      </w:pPr>
      <w:r>
        <w:rPr>
          <w:rFonts w:hint="eastAsia" w:ascii="仿宋_GB2312" w:hAnsi="宋体" w:eastAsia="仿宋_GB2312" w:cs="Times New Roman"/>
          <w:b w:val="0"/>
          <w:bCs/>
          <w:kern w:val="2"/>
          <w:sz w:val="32"/>
          <w:szCs w:val="32"/>
          <w:lang w:val="en-US" w:eastAsia="zh-CN" w:bidi="ar-SA"/>
        </w:rPr>
        <w:t>数据表明：常温猪精深部输精的受胎率和分娩率均高于与常规输精。</w:t>
      </w:r>
    </w:p>
    <w:p w14:paraId="5D72C32D">
      <w:pPr>
        <w:widowControl/>
        <w:spacing w:line="460" w:lineRule="exact"/>
        <w:ind w:left="0" w:leftChars="0" w:firstLine="0" w:firstLineChars="0"/>
        <w:jc w:val="center"/>
        <w:rPr>
          <w:rFonts w:hint="eastAsia" w:ascii="仿宋_GB2312" w:hAnsi="宋体" w:eastAsia="仿宋_GB2312" w:cs="Times New Roman"/>
          <w:b w:val="0"/>
          <w:bCs/>
          <w:kern w:val="2"/>
          <w:sz w:val="32"/>
          <w:szCs w:val="32"/>
          <w:lang w:val="en-US" w:eastAsia="zh-CN" w:bidi="ar-SA"/>
        </w:rPr>
      </w:pPr>
      <w:r>
        <w:rPr>
          <w:rFonts w:hint="eastAsia" w:ascii="仿宋_GB2312" w:hAnsi="宋体" w:cs="Times New Roman"/>
          <w:b w:val="0"/>
          <w:bCs/>
          <w:kern w:val="2"/>
          <w:sz w:val="28"/>
          <w:szCs w:val="28"/>
          <w:lang w:val="en-US" w:eastAsia="zh-CN" w:bidi="ar-SA"/>
        </w:rPr>
        <w:t>表</w:t>
      </w:r>
      <w:r>
        <w:rPr>
          <w:rFonts w:hint="eastAsia" w:ascii="仿宋_GB2312" w:hAnsi="宋体" w:eastAsia="仿宋_GB2312" w:cs="Times New Roman"/>
          <w:b w:val="0"/>
          <w:bCs/>
          <w:kern w:val="2"/>
          <w:sz w:val="28"/>
          <w:szCs w:val="28"/>
          <w:lang w:val="en-US" w:eastAsia="zh-CN" w:bidi="ar-SA"/>
        </w:rPr>
        <w:t>2</w:t>
      </w:r>
      <w:r>
        <w:rPr>
          <w:rFonts w:hint="eastAsia" w:ascii="仿宋_GB2312" w:hAnsi="宋体" w:cs="Times New Roman"/>
          <w:b w:val="0"/>
          <w:bCs/>
          <w:kern w:val="2"/>
          <w:sz w:val="28"/>
          <w:szCs w:val="28"/>
          <w:lang w:val="en-US" w:eastAsia="zh-CN" w:bidi="ar-SA"/>
        </w:rPr>
        <w:t xml:space="preserve">  </w:t>
      </w:r>
      <w:r>
        <w:rPr>
          <w:rFonts w:hint="eastAsia" w:ascii="仿宋_GB2312" w:hAnsi="宋体" w:eastAsia="仿宋_GB2312" w:cs="Times New Roman"/>
          <w:b w:val="0"/>
          <w:bCs/>
          <w:kern w:val="2"/>
          <w:sz w:val="28"/>
          <w:szCs w:val="28"/>
          <w:lang w:val="en-US" w:eastAsia="zh-CN" w:bidi="ar-SA"/>
        </w:rPr>
        <w:t>两种输精方式对经产母猪产仔情况的影响</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8"/>
        <w:gridCol w:w="1528"/>
        <w:gridCol w:w="1528"/>
        <w:gridCol w:w="1528"/>
        <w:gridCol w:w="1528"/>
        <w:gridCol w:w="1528"/>
      </w:tblGrid>
      <w:tr w14:paraId="56B91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pct"/>
            <w:vAlign w:val="center"/>
          </w:tcPr>
          <w:p w14:paraId="340397E9">
            <w:pPr>
              <w:widowControl/>
              <w:ind w:left="0" w:leftChars="0" w:firstLine="0" w:firstLineChars="0"/>
              <w:jc w:val="center"/>
              <w:textAlignment w:val="top"/>
              <w:rPr>
                <w:rFonts w:ascii="仿宋_GB2312" w:hAnsi="仿宋" w:eastAsia="仿宋_GB2312" w:cs="宋体"/>
                <w:sz w:val="24"/>
                <w:szCs w:val="24"/>
              </w:rPr>
            </w:pPr>
            <w:r>
              <w:rPr>
                <w:rFonts w:hint="eastAsia" w:ascii="仿宋_GB2312" w:hAnsi="仿宋" w:eastAsia="仿宋_GB2312" w:cs="宋体"/>
                <w:kern w:val="0"/>
                <w:sz w:val="24"/>
                <w:szCs w:val="24"/>
                <w:lang w:bidi="ar"/>
              </w:rPr>
              <w:t>项目</w:t>
            </w:r>
          </w:p>
        </w:tc>
        <w:tc>
          <w:tcPr>
            <w:tcW w:w="833" w:type="pct"/>
            <w:vAlign w:val="center"/>
          </w:tcPr>
          <w:p w14:paraId="0D52BB52">
            <w:pPr>
              <w:widowControl/>
              <w:ind w:left="0" w:leftChars="0" w:firstLine="0" w:firstLineChars="0"/>
              <w:jc w:val="center"/>
              <w:textAlignment w:val="top"/>
              <w:rPr>
                <w:rFonts w:ascii="仿宋_GB2312" w:hAnsi="仿宋" w:eastAsia="仿宋_GB2312" w:cs="宋体"/>
                <w:sz w:val="24"/>
                <w:szCs w:val="24"/>
              </w:rPr>
            </w:pPr>
            <w:r>
              <w:rPr>
                <w:rStyle w:val="40"/>
                <w:rFonts w:hint="default" w:ascii="仿宋_GB2312" w:hAnsi="仿宋" w:eastAsia="仿宋_GB2312"/>
                <w:sz w:val="24"/>
                <w:szCs w:val="24"/>
                <w:lang w:bidi="ar"/>
              </w:rPr>
              <w:t>总仔（头）</w:t>
            </w:r>
          </w:p>
        </w:tc>
        <w:tc>
          <w:tcPr>
            <w:tcW w:w="833" w:type="pct"/>
            <w:vAlign w:val="center"/>
          </w:tcPr>
          <w:p w14:paraId="3399381F">
            <w:pPr>
              <w:widowControl/>
              <w:ind w:left="0" w:leftChars="0" w:firstLine="0" w:firstLineChars="0"/>
              <w:jc w:val="center"/>
              <w:textAlignment w:val="top"/>
              <w:rPr>
                <w:rFonts w:ascii="仿宋_GB2312" w:hAnsi="仿宋" w:eastAsia="仿宋_GB2312" w:cs="宋体"/>
                <w:sz w:val="24"/>
                <w:szCs w:val="24"/>
              </w:rPr>
            </w:pPr>
            <w:r>
              <w:rPr>
                <w:rStyle w:val="40"/>
                <w:rFonts w:hint="default" w:ascii="仿宋_GB2312" w:hAnsi="仿宋" w:eastAsia="仿宋_GB2312"/>
                <w:sz w:val="24"/>
                <w:szCs w:val="24"/>
                <w:lang w:bidi="ar"/>
              </w:rPr>
              <w:t>活仔（头）</w:t>
            </w:r>
          </w:p>
        </w:tc>
        <w:tc>
          <w:tcPr>
            <w:tcW w:w="833" w:type="pct"/>
            <w:vAlign w:val="center"/>
          </w:tcPr>
          <w:p w14:paraId="0C99F413">
            <w:pPr>
              <w:widowControl/>
              <w:ind w:left="0" w:leftChars="0" w:firstLine="0" w:firstLineChars="0"/>
              <w:jc w:val="center"/>
              <w:textAlignment w:val="top"/>
              <w:rPr>
                <w:rFonts w:ascii="仿宋_GB2312" w:hAnsi="仿宋" w:eastAsia="仿宋_GB2312" w:cs="宋体"/>
                <w:sz w:val="24"/>
                <w:szCs w:val="24"/>
              </w:rPr>
            </w:pPr>
            <w:r>
              <w:rPr>
                <w:rStyle w:val="40"/>
                <w:rFonts w:hint="default" w:ascii="仿宋_GB2312" w:hAnsi="仿宋" w:eastAsia="仿宋_GB2312"/>
                <w:sz w:val="24"/>
                <w:szCs w:val="24"/>
                <w:lang w:bidi="ar"/>
              </w:rPr>
              <w:t>健仔（头）</w:t>
            </w:r>
          </w:p>
        </w:tc>
        <w:tc>
          <w:tcPr>
            <w:tcW w:w="833" w:type="pct"/>
            <w:vAlign w:val="center"/>
          </w:tcPr>
          <w:p w14:paraId="6D6FDEA3">
            <w:pPr>
              <w:widowControl/>
              <w:ind w:left="0" w:leftChars="0" w:firstLine="0" w:firstLineChars="0"/>
              <w:jc w:val="center"/>
              <w:textAlignment w:val="top"/>
              <w:rPr>
                <w:rFonts w:ascii="仿宋_GB2312" w:hAnsi="仿宋" w:eastAsia="仿宋_GB2312" w:cs="宋体"/>
                <w:sz w:val="24"/>
                <w:szCs w:val="24"/>
              </w:rPr>
            </w:pPr>
            <w:r>
              <w:rPr>
                <w:rStyle w:val="40"/>
                <w:rFonts w:hint="default" w:ascii="仿宋_GB2312" w:hAnsi="仿宋" w:eastAsia="仿宋_GB2312"/>
                <w:sz w:val="24"/>
                <w:szCs w:val="24"/>
                <w:lang w:bidi="ar"/>
              </w:rPr>
              <w:t>弱仔（头）</w:t>
            </w:r>
          </w:p>
        </w:tc>
        <w:tc>
          <w:tcPr>
            <w:tcW w:w="833" w:type="pct"/>
            <w:vAlign w:val="center"/>
          </w:tcPr>
          <w:p w14:paraId="35D41247">
            <w:pPr>
              <w:widowControl/>
              <w:ind w:left="0" w:leftChars="0" w:firstLine="0" w:firstLineChars="0"/>
              <w:jc w:val="center"/>
              <w:textAlignment w:val="top"/>
              <w:rPr>
                <w:rFonts w:ascii="仿宋_GB2312" w:hAnsi="仿宋" w:eastAsia="仿宋_GB2312" w:cs="宋体"/>
                <w:sz w:val="24"/>
                <w:szCs w:val="24"/>
              </w:rPr>
            </w:pPr>
            <w:r>
              <w:rPr>
                <w:rStyle w:val="40"/>
                <w:rFonts w:hint="default" w:ascii="仿宋_GB2312" w:hAnsi="仿宋" w:eastAsia="仿宋_GB2312"/>
                <w:sz w:val="24"/>
                <w:szCs w:val="24"/>
                <w:lang w:bidi="ar"/>
              </w:rPr>
              <w:t>死胎（头）</w:t>
            </w:r>
          </w:p>
        </w:tc>
      </w:tr>
      <w:tr w14:paraId="7FD9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pct"/>
            <w:vAlign w:val="center"/>
          </w:tcPr>
          <w:p w14:paraId="456F3C8B">
            <w:pPr>
              <w:widowControl/>
              <w:ind w:left="0" w:leftChars="0" w:firstLine="0" w:firstLineChars="0"/>
              <w:jc w:val="center"/>
              <w:textAlignment w:val="top"/>
              <w:rPr>
                <w:rFonts w:ascii="仿宋_GB2312" w:hAnsi="仿宋" w:eastAsia="仿宋_GB2312" w:cs="宋体"/>
                <w:sz w:val="24"/>
                <w:szCs w:val="24"/>
              </w:rPr>
            </w:pPr>
            <w:r>
              <w:rPr>
                <w:rStyle w:val="40"/>
                <w:rFonts w:hint="default" w:ascii="仿宋_GB2312" w:hAnsi="仿宋" w:eastAsia="仿宋_GB2312"/>
                <w:sz w:val="24"/>
                <w:szCs w:val="24"/>
                <w:lang w:bidi="ar"/>
              </w:rPr>
              <w:t>常规输精</w:t>
            </w:r>
          </w:p>
        </w:tc>
        <w:tc>
          <w:tcPr>
            <w:tcW w:w="833" w:type="pct"/>
            <w:vAlign w:val="center"/>
          </w:tcPr>
          <w:p w14:paraId="2128D9A1">
            <w:pPr>
              <w:widowControl/>
              <w:ind w:left="0" w:leftChars="0" w:firstLine="0" w:firstLineChars="0"/>
              <w:jc w:val="center"/>
              <w:textAlignment w:val="top"/>
              <w:rPr>
                <w:rFonts w:ascii="仿宋_GB2312" w:hAnsi="仿宋" w:eastAsia="仿宋_GB2312" w:cs="宋体"/>
                <w:sz w:val="24"/>
                <w:szCs w:val="24"/>
              </w:rPr>
            </w:pPr>
            <w:r>
              <w:rPr>
                <w:rFonts w:hint="eastAsia" w:ascii="仿宋_GB2312" w:hAnsi="仿宋" w:eastAsia="仿宋_GB2312" w:cs="宋体"/>
                <w:kern w:val="0"/>
                <w:sz w:val="24"/>
                <w:szCs w:val="24"/>
                <w:lang w:bidi="ar"/>
              </w:rPr>
              <w:t>12.17+2.11</w:t>
            </w:r>
            <w:r>
              <w:rPr>
                <w:rFonts w:hint="eastAsia" w:ascii="仿宋_GB2312" w:hAnsi="仿宋" w:eastAsia="仿宋_GB2312" w:cs="宋体"/>
                <w:kern w:val="0"/>
                <w:sz w:val="24"/>
                <w:szCs w:val="24"/>
                <w:vertAlign w:val="superscript"/>
                <w:lang w:bidi="ar"/>
              </w:rPr>
              <w:t>B</w:t>
            </w:r>
          </w:p>
        </w:tc>
        <w:tc>
          <w:tcPr>
            <w:tcW w:w="833" w:type="pct"/>
            <w:vAlign w:val="center"/>
          </w:tcPr>
          <w:p w14:paraId="217EF5C4">
            <w:pPr>
              <w:widowControl/>
              <w:ind w:left="0" w:leftChars="0" w:firstLine="0" w:firstLineChars="0"/>
              <w:jc w:val="center"/>
              <w:textAlignment w:val="top"/>
              <w:rPr>
                <w:rFonts w:ascii="仿宋_GB2312" w:hAnsi="仿宋" w:eastAsia="仿宋_GB2312" w:cs="宋体"/>
                <w:sz w:val="24"/>
                <w:szCs w:val="24"/>
              </w:rPr>
            </w:pPr>
            <w:r>
              <w:rPr>
                <w:rFonts w:hint="eastAsia" w:ascii="仿宋_GB2312" w:hAnsi="仿宋" w:eastAsia="仿宋_GB2312" w:cs="宋体"/>
                <w:kern w:val="0"/>
                <w:sz w:val="24"/>
                <w:szCs w:val="24"/>
                <w:lang w:bidi="ar"/>
              </w:rPr>
              <w:t>11.53+1.95</w:t>
            </w:r>
            <w:r>
              <w:rPr>
                <w:rFonts w:hint="eastAsia" w:ascii="仿宋_GB2312" w:hAnsi="仿宋" w:eastAsia="仿宋_GB2312" w:cs="宋体"/>
                <w:kern w:val="0"/>
                <w:sz w:val="24"/>
                <w:szCs w:val="24"/>
                <w:vertAlign w:val="superscript"/>
                <w:lang w:bidi="ar"/>
              </w:rPr>
              <w:t>B</w:t>
            </w:r>
          </w:p>
        </w:tc>
        <w:tc>
          <w:tcPr>
            <w:tcW w:w="833" w:type="pct"/>
            <w:vAlign w:val="center"/>
          </w:tcPr>
          <w:p w14:paraId="1039565B">
            <w:pPr>
              <w:widowControl/>
              <w:ind w:left="0" w:leftChars="0" w:firstLine="0" w:firstLineChars="0"/>
              <w:jc w:val="center"/>
              <w:textAlignment w:val="top"/>
              <w:rPr>
                <w:rFonts w:ascii="仿宋_GB2312" w:hAnsi="仿宋" w:eastAsia="仿宋_GB2312" w:cs="宋体"/>
                <w:sz w:val="24"/>
                <w:szCs w:val="24"/>
              </w:rPr>
            </w:pPr>
            <w:r>
              <w:rPr>
                <w:rFonts w:hint="eastAsia" w:ascii="仿宋_GB2312" w:hAnsi="仿宋" w:eastAsia="仿宋_GB2312" w:cs="宋体"/>
                <w:kern w:val="0"/>
                <w:sz w:val="24"/>
                <w:szCs w:val="24"/>
                <w:lang w:bidi="ar"/>
              </w:rPr>
              <w:t>10.44+1.99</w:t>
            </w:r>
            <w:r>
              <w:rPr>
                <w:rFonts w:hint="eastAsia" w:ascii="仿宋_GB2312" w:hAnsi="仿宋" w:eastAsia="仿宋_GB2312" w:cs="宋体"/>
                <w:kern w:val="0"/>
                <w:sz w:val="24"/>
                <w:szCs w:val="24"/>
                <w:vertAlign w:val="superscript"/>
                <w:lang w:bidi="ar"/>
              </w:rPr>
              <w:t>B</w:t>
            </w:r>
          </w:p>
        </w:tc>
        <w:tc>
          <w:tcPr>
            <w:tcW w:w="833" w:type="pct"/>
            <w:vAlign w:val="center"/>
          </w:tcPr>
          <w:p w14:paraId="1C8C93FF">
            <w:pPr>
              <w:widowControl/>
              <w:ind w:left="0" w:leftChars="0" w:firstLine="0" w:firstLineChars="0"/>
              <w:jc w:val="center"/>
              <w:textAlignment w:val="top"/>
              <w:rPr>
                <w:rFonts w:ascii="仿宋_GB2312" w:hAnsi="仿宋" w:eastAsia="仿宋_GB2312" w:cs="宋体"/>
                <w:sz w:val="24"/>
                <w:szCs w:val="24"/>
              </w:rPr>
            </w:pPr>
            <w:r>
              <w:rPr>
                <w:rStyle w:val="40"/>
                <w:rFonts w:hint="default" w:ascii="仿宋_GB2312" w:hAnsi="仿宋" w:eastAsia="仿宋_GB2312"/>
                <w:sz w:val="24"/>
                <w:szCs w:val="24"/>
                <w:lang w:bidi="ar"/>
              </w:rPr>
              <w:t>1.0+0.81</w:t>
            </w:r>
            <w:r>
              <w:rPr>
                <w:rStyle w:val="40"/>
                <w:rFonts w:hint="default" w:ascii="仿宋_GB2312" w:hAnsi="仿宋" w:eastAsia="仿宋_GB2312"/>
                <w:sz w:val="24"/>
                <w:szCs w:val="24"/>
                <w:vertAlign w:val="superscript"/>
                <w:lang w:bidi="ar"/>
              </w:rPr>
              <w:t>b</w:t>
            </w:r>
          </w:p>
        </w:tc>
        <w:tc>
          <w:tcPr>
            <w:tcW w:w="833" w:type="pct"/>
            <w:vAlign w:val="center"/>
          </w:tcPr>
          <w:p w14:paraId="12CC5BA5">
            <w:pPr>
              <w:widowControl/>
              <w:ind w:left="0" w:leftChars="0" w:firstLine="0" w:firstLineChars="0"/>
              <w:jc w:val="center"/>
              <w:textAlignment w:val="top"/>
              <w:rPr>
                <w:rFonts w:ascii="仿宋_GB2312" w:hAnsi="仿宋" w:eastAsia="仿宋_GB2312" w:cs="宋体"/>
                <w:sz w:val="24"/>
                <w:szCs w:val="24"/>
              </w:rPr>
            </w:pPr>
            <w:r>
              <w:rPr>
                <w:rFonts w:hint="eastAsia" w:ascii="仿宋_GB2312" w:hAnsi="仿宋" w:eastAsia="仿宋_GB2312" w:cs="宋体"/>
                <w:kern w:val="0"/>
                <w:sz w:val="24"/>
                <w:szCs w:val="24"/>
                <w:lang w:bidi="ar"/>
              </w:rPr>
              <w:t>0.52+1.03</w:t>
            </w:r>
            <w:r>
              <w:rPr>
                <w:rStyle w:val="40"/>
                <w:rFonts w:hint="default" w:ascii="仿宋_GB2312" w:hAnsi="仿宋" w:eastAsia="仿宋_GB2312"/>
                <w:sz w:val="24"/>
                <w:szCs w:val="24"/>
                <w:vertAlign w:val="superscript"/>
              </w:rPr>
              <w:t>A</w:t>
            </w:r>
          </w:p>
        </w:tc>
      </w:tr>
      <w:tr w14:paraId="0AF24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pct"/>
            <w:vAlign w:val="center"/>
          </w:tcPr>
          <w:p w14:paraId="50E1BDB0">
            <w:pPr>
              <w:widowControl/>
              <w:ind w:left="0" w:leftChars="0" w:firstLine="0" w:firstLineChars="0"/>
              <w:jc w:val="center"/>
              <w:textAlignment w:val="top"/>
              <w:rPr>
                <w:rFonts w:ascii="仿宋_GB2312" w:hAnsi="仿宋" w:eastAsia="仿宋_GB2312" w:cs="宋体"/>
                <w:sz w:val="24"/>
                <w:szCs w:val="24"/>
              </w:rPr>
            </w:pPr>
            <w:r>
              <w:rPr>
                <w:rStyle w:val="40"/>
                <w:rFonts w:hint="default" w:ascii="仿宋_GB2312" w:hAnsi="仿宋" w:eastAsia="仿宋_GB2312"/>
                <w:sz w:val="24"/>
                <w:szCs w:val="24"/>
                <w:lang w:bidi="ar"/>
              </w:rPr>
              <w:t>深部输精</w:t>
            </w:r>
          </w:p>
        </w:tc>
        <w:tc>
          <w:tcPr>
            <w:tcW w:w="833" w:type="pct"/>
            <w:vAlign w:val="center"/>
          </w:tcPr>
          <w:p w14:paraId="246B336C">
            <w:pPr>
              <w:widowControl/>
              <w:ind w:left="0" w:leftChars="0" w:firstLine="0" w:firstLineChars="0"/>
              <w:jc w:val="center"/>
              <w:textAlignment w:val="top"/>
              <w:rPr>
                <w:rFonts w:ascii="仿宋_GB2312" w:hAnsi="仿宋" w:eastAsia="仿宋_GB2312" w:cs="宋体"/>
                <w:sz w:val="24"/>
                <w:szCs w:val="24"/>
              </w:rPr>
            </w:pPr>
            <w:r>
              <w:rPr>
                <w:rFonts w:hint="eastAsia" w:ascii="仿宋_GB2312" w:hAnsi="仿宋" w:eastAsia="仿宋_GB2312" w:cs="宋体"/>
                <w:kern w:val="0"/>
                <w:sz w:val="24"/>
                <w:szCs w:val="24"/>
                <w:lang w:bidi="ar"/>
              </w:rPr>
              <w:t>12.96+1.90</w:t>
            </w:r>
            <w:r>
              <w:rPr>
                <w:rFonts w:hint="eastAsia" w:ascii="仿宋_GB2312" w:hAnsi="仿宋" w:eastAsia="仿宋_GB2312" w:cs="宋体"/>
                <w:kern w:val="0"/>
                <w:sz w:val="24"/>
                <w:szCs w:val="24"/>
                <w:vertAlign w:val="superscript"/>
                <w:lang w:bidi="ar"/>
              </w:rPr>
              <w:t>A</w:t>
            </w:r>
          </w:p>
        </w:tc>
        <w:tc>
          <w:tcPr>
            <w:tcW w:w="833" w:type="pct"/>
            <w:vAlign w:val="center"/>
          </w:tcPr>
          <w:p w14:paraId="69987AB5">
            <w:pPr>
              <w:widowControl/>
              <w:ind w:left="0" w:leftChars="0" w:firstLine="0" w:firstLineChars="0"/>
              <w:jc w:val="center"/>
              <w:textAlignment w:val="top"/>
              <w:rPr>
                <w:rFonts w:ascii="仿宋_GB2312" w:hAnsi="仿宋" w:eastAsia="仿宋_GB2312" w:cs="宋体"/>
                <w:sz w:val="24"/>
                <w:szCs w:val="24"/>
              </w:rPr>
            </w:pPr>
            <w:r>
              <w:rPr>
                <w:rFonts w:hint="eastAsia" w:ascii="仿宋_GB2312" w:hAnsi="仿宋" w:eastAsia="仿宋_GB2312" w:cs="宋体"/>
                <w:kern w:val="0"/>
                <w:sz w:val="24"/>
                <w:szCs w:val="24"/>
                <w:lang w:bidi="ar"/>
              </w:rPr>
              <w:t>12.66+1.76</w:t>
            </w:r>
            <w:r>
              <w:rPr>
                <w:rFonts w:hint="eastAsia" w:ascii="仿宋_GB2312" w:hAnsi="仿宋" w:eastAsia="仿宋_GB2312" w:cs="宋体"/>
                <w:kern w:val="0"/>
                <w:sz w:val="24"/>
                <w:szCs w:val="24"/>
                <w:vertAlign w:val="superscript"/>
                <w:lang w:bidi="ar"/>
              </w:rPr>
              <w:t>A</w:t>
            </w:r>
          </w:p>
        </w:tc>
        <w:tc>
          <w:tcPr>
            <w:tcW w:w="833" w:type="pct"/>
            <w:vAlign w:val="center"/>
          </w:tcPr>
          <w:p w14:paraId="542A62F5">
            <w:pPr>
              <w:widowControl/>
              <w:ind w:left="0" w:leftChars="0" w:firstLine="0" w:firstLineChars="0"/>
              <w:jc w:val="center"/>
              <w:textAlignment w:val="top"/>
              <w:rPr>
                <w:rFonts w:ascii="仿宋_GB2312" w:hAnsi="仿宋" w:eastAsia="仿宋_GB2312" w:cs="宋体"/>
                <w:sz w:val="24"/>
                <w:szCs w:val="24"/>
              </w:rPr>
            </w:pPr>
            <w:r>
              <w:rPr>
                <w:rFonts w:hint="eastAsia" w:ascii="仿宋_GB2312" w:hAnsi="仿宋" w:eastAsia="仿宋_GB2312" w:cs="宋体"/>
                <w:kern w:val="0"/>
                <w:sz w:val="24"/>
                <w:szCs w:val="24"/>
                <w:lang w:bidi="ar"/>
              </w:rPr>
              <w:t>11.03+1.64</w:t>
            </w:r>
            <w:r>
              <w:rPr>
                <w:rFonts w:hint="eastAsia" w:ascii="仿宋_GB2312" w:hAnsi="仿宋" w:eastAsia="仿宋_GB2312" w:cs="宋体"/>
                <w:kern w:val="0"/>
                <w:sz w:val="24"/>
                <w:szCs w:val="24"/>
                <w:vertAlign w:val="superscript"/>
                <w:lang w:bidi="ar"/>
              </w:rPr>
              <w:t>A</w:t>
            </w:r>
          </w:p>
        </w:tc>
        <w:tc>
          <w:tcPr>
            <w:tcW w:w="833" w:type="pct"/>
            <w:vAlign w:val="center"/>
          </w:tcPr>
          <w:p w14:paraId="0B22A1C6">
            <w:pPr>
              <w:widowControl/>
              <w:ind w:left="0" w:leftChars="0" w:firstLine="0" w:firstLineChars="0"/>
              <w:jc w:val="center"/>
              <w:textAlignment w:val="top"/>
              <w:rPr>
                <w:rFonts w:ascii="仿宋_GB2312" w:hAnsi="仿宋" w:eastAsia="仿宋_GB2312" w:cs="宋体"/>
                <w:sz w:val="24"/>
                <w:szCs w:val="24"/>
              </w:rPr>
            </w:pPr>
            <w:r>
              <w:rPr>
                <w:rStyle w:val="40"/>
                <w:rFonts w:hint="default" w:ascii="仿宋_GB2312" w:hAnsi="仿宋" w:eastAsia="仿宋_GB2312"/>
                <w:sz w:val="24"/>
                <w:szCs w:val="24"/>
                <w:lang w:bidi="ar"/>
              </w:rPr>
              <w:t>1.55+1.42</w:t>
            </w:r>
            <w:r>
              <w:rPr>
                <w:rStyle w:val="40"/>
                <w:rFonts w:hint="default" w:ascii="仿宋_GB2312" w:hAnsi="仿宋" w:eastAsia="仿宋_GB2312"/>
                <w:sz w:val="24"/>
                <w:szCs w:val="24"/>
                <w:vertAlign w:val="superscript"/>
                <w:lang w:bidi="ar"/>
              </w:rPr>
              <w:t>a</w:t>
            </w:r>
          </w:p>
        </w:tc>
        <w:tc>
          <w:tcPr>
            <w:tcW w:w="833" w:type="pct"/>
            <w:vAlign w:val="center"/>
          </w:tcPr>
          <w:p w14:paraId="4BB3B831">
            <w:pPr>
              <w:widowControl/>
              <w:ind w:left="0" w:leftChars="0" w:firstLine="0" w:firstLineChars="0"/>
              <w:jc w:val="center"/>
              <w:textAlignment w:val="top"/>
              <w:rPr>
                <w:rFonts w:ascii="仿宋_GB2312" w:hAnsi="仿宋" w:eastAsia="仿宋_GB2312" w:cs="宋体"/>
                <w:sz w:val="24"/>
                <w:szCs w:val="24"/>
              </w:rPr>
            </w:pPr>
            <w:r>
              <w:rPr>
                <w:rFonts w:hint="eastAsia" w:ascii="仿宋_GB2312" w:hAnsi="仿宋" w:eastAsia="仿宋_GB2312" w:cs="宋体"/>
                <w:kern w:val="0"/>
                <w:sz w:val="24"/>
                <w:szCs w:val="24"/>
                <w:lang w:bidi="ar"/>
              </w:rPr>
              <w:t>0.21+0.47</w:t>
            </w:r>
            <w:r>
              <w:rPr>
                <w:rStyle w:val="40"/>
                <w:rFonts w:hint="default" w:ascii="仿宋_GB2312" w:hAnsi="仿宋" w:eastAsia="仿宋_GB2312"/>
                <w:sz w:val="24"/>
                <w:szCs w:val="24"/>
                <w:vertAlign w:val="superscript"/>
              </w:rPr>
              <w:t>B</w:t>
            </w:r>
          </w:p>
        </w:tc>
      </w:tr>
    </w:tbl>
    <w:p w14:paraId="79A56F59">
      <w:pPr>
        <w:widowControl/>
        <w:spacing w:line="460" w:lineRule="exact"/>
        <w:ind w:firstLine="640" w:firstLineChars="200"/>
        <w:rPr>
          <w:rFonts w:hint="eastAsia" w:ascii="仿宋_GB2312" w:hAnsi="宋体" w:eastAsia="仿宋_GB2312" w:cs="Times New Roman"/>
          <w:b w:val="0"/>
          <w:bCs/>
          <w:kern w:val="2"/>
          <w:sz w:val="32"/>
          <w:szCs w:val="32"/>
          <w:lang w:val="en-US" w:eastAsia="zh-CN" w:bidi="ar-SA"/>
        </w:rPr>
      </w:pPr>
      <w:r>
        <w:rPr>
          <w:rFonts w:hint="eastAsia" w:ascii="仿宋_GB2312" w:hAnsi="宋体" w:eastAsia="仿宋_GB2312" w:cs="Times New Roman"/>
          <w:b w:val="0"/>
          <w:bCs/>
          <w:kern w:val="2"/>
          <w:sz w:val="32"/>
          <w:szCs w:val="32"/>
          <w:lang w:val="en-US" w:eastAsia="zh-CN" w:bidi="ar-SA"/>
        </w:rPr>
        <w:t>深部输精可提高经产母猪总仔数、活仔数和健仔数，降低死胎，但增加弱仔的头数。</w:t>
      </w:r>
    </w:p>
    <w:p w14:paraId="20923216">
      <w:pPr>
        <w:widowControl/>
        <w:spacing w:line="460" w:lineRule="exact"/>
        <w:ind w:firstLine="640" w:firstLineChars="200"/>
        <w:rPr>
          <w:rFonts w:hint="eastAsia" w:ascii="仿宋_GB2312" w:hAnsi="宋体" w:eastAsia="仿宋_GB2312" w:cs="Times New Roman"/>
          <w:b w:val="0"/>
          <w:bCs/>
          <w:kern w:val="2"/>
          <w:sz w:val="32"/>
          <w:szCs w:val="32"/>
          <w:lang w:val="en-US" w:eastAsia="zh-CN" w:bidi="ar-SA"/>
        </w:rPr>
      </w:pPr>
      <w:r>
        <w:rPr>
          <w:rFonts w:hint="eastAsia" w:ascii="仿宋_GB2312" w:hAnsi="宋体" w:cs="Times New Roman"/>
          <w:b w:val="0"/>
          <w:bCs/>
          <w:kern w:val="2"/>
          <w:sz w:val="32"/>
          <w:szCs w:val="32"/>
          <w:lang w:val="en-US" w:eastAsia="zh-CN" w:bidi="ar-SA"/>
        </w:rPr>
        <w:t>1）</w:t>
      </w:r>
      <w:r>
        <w:rPr>
          <w:rFonts w:hint="eastAsia" w:ascii="仿宋_GB2312" w:hAnsi="宋体" w:eastAsia="仿宋_GB2312" w:cs="Times New Roman"/>
          <w:b w:val="0"/>
          <w:bCs/>
          <w:kern w:val="2"/>
          <w:sz w:val="32"/>
          <w:szCs w:val="32"/>
          <w:lang w:val="en-US" w:eastAsia="zh-CN" w:bidi="ar-SA"/>
        </w:rPr>
        <w:t>深部输精和常规输精的时间不同并不影响经产母猪的繁殖力；</w:t>
      </w:r>
      <w:r>
        <w:rPr>
          <w:rFonts w:hint="eastAsia" w:ascii="仿宋_GB2312" w:hAnsi="宋体" w:cs="Times New Roman"/>
          <w:b w:val="0"/>
          <w:bCs/>
          <w:kern w:val="2"/>
          <w:sz w:val="32"/>
          <w:szCs w:val="32"/>
          <w:lang w:val="en-US" w:eastAsia="zh-CN" w:bidi="ar-SA"/>
        </w:rPr>
        <w:t>2）</w:t>
      </w:r>
      <w:r>
        <w:rPr>
          <w:rFonts w:hint="eastAsia" w:ascii="仿宋_GB2312" w:hAnsi="宋体" w:eastAsia="仿宋_GB2312" w:cs="Times New Roman"/>
          <w:b w:val="0"/>
          <w:bCs/>
          <w:kern w:val="2"/>
          <w:sz w:val="32"/>
          <w:szCs w:val="32"/>
          <w:lang w:val="en-US" w:eastAsia="zh-CN" w:bidi="ar-SA"/>
        </w:rPr>
        <w:t>与常规输精相比，深部输精并不显著提高经产母猪的受胎率与分娩率；</w:t>
      </w:r>
      <w:r>
        <w:rPr>
          <w:rFonts w:hint="eastAsia" w:ascii="仿宋_GB2312" w:hAnsi="宋体" w:cs="Times New Roman"/>
          <w:b w:val="0"/>
          <w:bCs/>
          <w:kern w:val="2"/>
          <w:sz w:val="32"/>
          <w:szCs w:val="32"/>
          <w:lang w:val="en-US" w:eastAsia="zh-CN" w:bidi="ar-SA"/>
        </w:rPr>
        <w:t>3）</w:t>
      </w:r>
      <w:r>
        <w:rPr>
          <w:rFonts w:hint="eastAsia" w:ascii="仿宋_GB2312" w:hAnsi="宋体" w:eastAsia="仿宋_GB2312" w:cs="Times New Roman"/>
          <w:b w:val="0"/>
          <w:bCs/>
          <w:kern w:val="2"/>
          <w:sz w:val="32"/>
          <w:szCs w:val="32"/>
          <w:lang w:val="en-US" w:eastAsia="zh-CN" w:bidi="ar-SA"/>
        </w:rPr>
        <w:t>深部输精的总仔数、活仔数及健仔数会显著提升，但弱仔数也显著提升且提升比例更大；</w:t>
      </w:r>
      <w:r>
        <w:rPr>
          <w:rFonts w:hint="eastAsia" w:ascii="仿宋_GB2312" w:hAnsi="宋体" w:cs="Times New Roman"/>
          <w:b w:val="0"/>
          <w:bCs/>
          <w:kern w:val="2"/>
          <w:sz w:val="32"/>
          <w:szCs w:val="32"/>
          <w:lang w:val="en-US" w:eastAsia="zh-CN" w:bidi="ar-SA"/>
        </w:rPr>
        <w:t>4）</w:t>
      </w:r>
      <w:r>
        <w:rPr>
          <w:rFonts w:hint="eastAsia" w:ascii="仿宋_GB2312" w:hAnsi="宋体" w:eastAsia="仿宋_GB2312" w:cs="Times New Roman"/>
          <w:b w:val="0"/>
          <w:bCs/>
          <w:kern w:val="2"/>
          <w:sz w:val="32"/>
          <w:szCs w:val="32"/>
          <w:lang w:val="en-US" w:eastAsia="zh-CN" w:bidi="ar-SA"/>
        </w:rPr>
        <w:t>整个怀孕期补充生殖营养-仔多多，提供更好的授精环境；为胎儿供给充足的营养，减少怀孕期胎儿相互竞争产生的弱仔;</w:t>
      </w:r>
      <w:r>
        <w:rPr>
          <w:rFonts w:hint="eastAsia" w:ascii="仿宋_GB2312" w:hAnsi="宋体" w:cs="Times New Roman"/>
          <w:b w:val="0"/>
          <w:bCs/>
          <w:kern w:val="2"/>
          <w:sz w:val="32"/>
          <w:szCs w:val="32"/>
          <w:lang w:val="en-US" w:eastAsia="zh-CN" w:bidi="ar-SA"/>
        </w:rPr>
        <w:t>5）</w:t>
      </w:r>
      <w:r>
        <w:rPr>
          <w:rFonts w:hint="eastAsia" w:ascii="仿宋_GB2312" w:hAnsi="宋体" w:eastAsia="仿宋_GB2312" w:cs="Times New Roman"/>
          <w:b w:val="0"/>
          <w:bCs/>
          <w:kern w:val="2"/>
          <w:sz w:val="32"/>
          <w:szCs w:val="32"/>
          <w:lang w:val="en-US" w:eastAsia="zh-CN" w:bidi="ar-SA"/>
        </w:rPr>
        <w:t>深部输精产生弱仔主要是输精位置，内管的延伸使得精液直接到达子宫体或子宫颈前端，促使精液快速进入两侧子宫角和输卵管，提高卵子的受精率，进而提高产仔数和产活仔数；但也正是这种人为的帮助，使得精子的筛选减少一次，这可能是造成弱仔数增加的一个原因，但需进一步论证。</w:t>
      </w:r>
    </w:p>
    <w:p w14:paraId="5CC6938F">
      <w:pPr>
        <w:pStyle w:val="31"/>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jc w:val="left"/>
        <w:textAlignment w:val="auto"/>
        <w:rPr>
          <w:rFonts w:hint="eastAsia"/>
          <w:lang w:val="en-US" w:eastAsia="zh-CN"/>
        </w:rPr>
      </w:pPr>
    </w:p>
    <w:p w14:paraId="724CD552">
      <w:pPr>
        <w:pStyle w:val="31"/>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1003" w:leftChars="0" w:firstLine="643" w:firstLineChars="200"/>
        <w:jc w:val="left"/>
        <w:textAlignment w:val="auto"/>
        <w:rPr>
          <w:rFonts w:ascii="仿宋_GB2312" w:hAnsi="宋体" w:eastAsia="仿宋_GB2312"/>
          <w:b/>
          <w:sz w:val="32"/>
          <w:szCs w:val="32"/>
          <w:lang w:val="zh-CN"/>
        </w:rPr>
      </w:pPr>
      <w:r>
        <w:rPr>
          <w:rFonts w:hint="eastAsia" w:ascii="仿宋_GB2312" w:hAnsi="宋体" w:eastAsia="仿宋_GB2312" w:cs="Times New Roman"/>
          <w:b/>
          <w:kern w:val="2"/>
          <w:sz w:val="32"/>
          <w:szCs w:val="32"/>
          <w:lang w:val="zh-CN" w:eastAsia="zh-CN" w:bidi="ar-SA"/>
        </w:rPr>
        <w:t>（六）</w:t>
      </w:r>
      <w:r>
        <w:rPr>
          <w:rFonts w:hint="eastAsia" w:ascii="仿宋_GB2312" w:hAnsi="宋体"/>
          <w:b/>
          <w:sz w:val="32"/>
          <w:szCs w:val="32"/>
          <w:lang w:val="en-US" w:eastAsia="zh-CN"/>
        </w:rPr>
        <w:t>证实方法</w:t>
      </w:r>
    </w:p>
    <w:p w14:paraId="77FDF28A">
      <w:pPr>
        <w:keepNext w:val="0"/>
        <w:keepLines w:val="0"/>
        <w:pageBreakBefore w:val="0"/>
        <w:kinsoku/>
        <w:overflowPunct/>
        <w:topLinePunct w:val="0"/>
        <w:bidi w:val="0"/>
        <w:snapToGrid/>
        <w:ind w:left="0" w:firstLine="640" w:firstLineChars="200"/>
        <w:rPr>
          <w:b/>
          <w:bCs/>
          <w:sz w:val="24"/>
          <w:szCs w:val="28"/>
        </w:rPr>
      </w:pPr>
      <w:r>
        <w:rPr>
          <w:rFonts w:hint="eastAsia" w:ascii="仿宋_GB2312" w:hAnsi="宋体"/>
          <w:sz w:val="32"/>
          <w:szCs w:val="32"/>
          <w:lang w:val="en-US" w:eastAsia="zh-CN"/>
        </w:rPr>
        <w:t xml:space="preserve">证实方法按行业标准《NY/T 636  </w:t>
      </w:r>
      <w:r>
        <w:rPr>
          <w:rFonts w:hint="eastAsia"/>
        </w:rPr>
        <w:t>猪人工授精技术规程</w:t>
      </w:r>
      <w:r>
        <w:rPr>
          <w:rFonts w:hint="eastAsia"/>
          <w:lang w:eastAsia="zh-CN"/>
        </w:rPr>
        <w:t>》</w:t>
      </w:r>
      <w:r>
        <w:rPr>
          <w:rFonts w:hint="eastAsia"/>
          <w:lang w:val="en-US" w:eastAsia="zh-CN"/>
        </w:rPr>
        <w:t>的要求执行</w:t>
      </w:r>
      <w:r>
        <w:rPr>
          <w:rFonts w:hint="eastAsia" w:ascii="仿宋_GB2312" w:hAnsi="宋体" w:eastAsia="仿宋_GB2312"/>
          <w:sz w:val="32"/>
          <w:szCs w:val="32"/>
          <w:lang w:val="zh-CN"/>
        </w:rPr>
        <w:t>。</w:t>
      </w:r>
    </w:p>
    <w:p w14:paraId="412D30FF">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rPr>
          <w:rFonts w:ascii="黑体" w:hAnsi="黑体" w:eastAsia="黑体" w:cs="仿宋_GB2312"/>
          <w:sz w:val="32"/>
          <w:szCs w:val="32"/>
        </w:rPr>
      </w:pPr>
      <w:bookmarkStart w:id="2" w:name="_Toc526940086"/>
      <w:r>
        <w:rPr>
          <w:rFonts w:hint="eastAsia" w:ascii="黑体" w:hAnsi="黑体" w:eastAsia="黑体" w:cs="仿宋_GB2312"/>
          <w:sz w:val="32"/>
          <w:szCs w:val="32"/>
        </w:rPr>
        <w:t>六、</w:t>
      </w:r>
      <w:bookmarkEnd w:id="2"/>
      <w:r>
        <w:rPr>
          <w:rFonts w:hint="eastAsia" w:ascii="黑体" w:hAnsi="黑体" w:eastAsia="黑体" w:cs="仿宋_GB2312"/>
          <w:sz w:val="32"/>
          <w:szCs w:val="32"/>
        </w:rPr>
        <w:t>重大分歧意见的处理经过和依据</w:t>
      </w:r>
    </w:p>
    <w:p w14:paraId="7DBD7D8D">
      <w:pPr>
        <w:keepNext w:val="0"/>
        <w:keepLines w:val="0"/>
        <w:pageBreakBefore w:val="0"/>
        <w:kinsoku/>
        <w:overflowPunct/>
        <w:topLinePunct w:val="0"/>
        <w:bidi w:val="0"/>
        <w:snapToGrid/>
        <w:spacing w:line="560" w:lineRule="exact"/>
        <w:ind w:left="0" w:firstLine="640" w:firstLineChars="200"/>
        <w:rPr>
          <w:rFonts w:ascii="仿宋_GB2312" w:hAnsi="宋体" w:eastAsia="仿宋_GB2312"/>
          <w:sz w:val="32"/>
          <w:szCs w:val="28"/>
        </w:rPr>
      </w:pPr>
      <w:r>
        <w:rPr>
          <w:rFonts w:hint="eastAsia" w:ascii="仿宋_GB2312" w:hAnsi="宋体" w:eastAsia="仿宋_GB2312"/>
          <w:sz w:val="32"/>
          <w:szCs w:val="28"/>
        </w:rPr>
        <w:t>本标准研制过程中无重大分歧意见。</w:t>
      </w:r>
    </w:p>
    <w:p w14:paraId="69867F09">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rPr>
          <w:rFonts w:ascii="黑体" w:hAnsi="黑体" w:eastAsia="黑体" w:cs="仿宋_GB2312"/>
          <w:sz w:val="32"/>
          <w:szCs w:val="32"/>
        </w:rPr>
      </w:pPr>
      <w:r>
        <w:rPr>
          <w:rFonts w:hint="eastAsia" w:ascii="黑体" w:hAnsi="黑体" w:eastAsia="黑体" w:cs="仿宋_GB2312"/>
          <w:sz w:val="32"/>
          <w:szCs w:val="32"/>
        </w:rPr>
        <w:t>七</w:t>
      </w:r>
      <w:r>
        <w:rPr>
          <w:rFonts w:ascii="黑体" w:hAnsi="黑体" w:eastAsia="黑体" w:cs="仿宋_GB2312"/>
          <w:sz w:val="32"/>
          <w:szCs w:val="32"/>
        </w:rPr>
        <w:t>、</w:t>
      </w:r>
      <w:r>
        <w:rPr>
          <w:rFonts w:hint="eastAsia" w:ascii="黑体" w:hAnsi="黑体" w:eastAsia="黑体" w:cs="仿宋_GB2312"/>
          <w:sz w:val="32"/>
          <w:szCs w:val="32"/>
        </w:rPr>
        <w:t>实施标准的措施</w:t>
      </w:r>
    </w:p>
    <w:p w14:paraId="67C45D00">
      <w:pPr>
        <w:keepNext w:val="0"/>
        <w:keepLines w:val="0"/>
        <w:pageBreakBefore w:val="0"/>
        <w:kinsoku/>
        <w:overflowPunct/>
        <w:topLinePunct w:val="0"/>
        <w:bidi w:val="0"/>
        <w:snapToGrid/>
        <w:spacing w:line="560" w:lineRule="exact"/>
        <w:ind w:left="0" w:firstLine="643" w:firstLineChars="200"/>
        <w:rPr>
          <w:rFonts w:ascii="仿宋_GB2312" w:hAnsi="宋体" w:eastAsia="仿宋_GB2312"/>
          <w:b/>
          <w:sz w:val="32"/>
          <w:szCs w:val="28"/>
        </w:rPr>
      </w:pPr>
      <w:r>
        <w:rPr>
          <w:rFonts w:hint="eastAsia" w:ascii="仿宋_GB2312" w:hAnsi="宋体" w:eastAsia="仿宋_GB2312"/>
          <w:b/>
          <w:sz w:val="32"/>
          <w:szCs w:val="28"/>
        </w:rPr>
        <w:t>（一）标准报批发布后，成立标准宣贯工作组</w:t>
      </w:r>
    </w:p>
    <w:p w14:paraId="7330B5F1">
      <w:pPr>
        <w:keepNext w:val="0"/>
        <w:keepLines w:val="0"/>
        <w:pageBreakBefore w:val="0"/>
        <w:kinsoku/>
        <w:overflowPunct/>
        <w:topLinePunct w:val="0"/>
        <w:bidi w:val="0"/>
        <w:snapToGrid/>
        <w:spacing w:line="560" w:lineRule="exact"/>
        <w:ind w:left="0" w:firstLine="640" w:firstLineChars="200"/>
        <w:rPr>
          <w:rFonts w:ascii="仿宋_GB2312" w:hAnsi="宋体" w:eastAsia="仿宋_GB2312"/>
          <w:sz w:val="32"/>
          <w:szCs w:val="28"/>
        </w:rPr>
      </w:pPr>
      <w:r>
        <w:rPr>
          <w:rFonts w:hint="eastAsia" w:ascii="仿宋_GB2312" w:hAnsi="宋体" w:eastAsia="仿宋_GB2312"/>
          <w:sz w:val="32"/>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EC0E2CD">
      <w:pPr>
        <w:keepNext w:val="0"/>
        <w:keepLines w:val="0"/>
        <w:pageBreakBefore w:val="0"/>
        <w:kinsoku/>
        <w:overflowPunct/>
        <w:topLinePunct w:val="0"/>
        <w:bidi w:val="0"/>
        <w:snapToGrid/>
        <w:spacing w:line="560" w:lineRule="exact"/>
        <w:ind w:left="0" w:firstLine="643" w:firstLineChars="200"/>
        <w:rPr>
          <w:rFonts w:ascii="仿宋_GB2312" w:hAnsi="宋体" w:eastAsia="仿宋_GB2312"/>
          <w:b/>
          <w:sz w:val="32"/>
          <w:szCs w:val="28"/>
        </w:rPr>
      </w:pPr>
      <w:r>
        <w:rPr>
          <w:rFonts w:hint="eastAsia" w:ascii="仿宋_GB2312" w:hAnsi="宋体" w:eastAsia="仿宋_GB2312"/>
          <w:b/>
          <w:sz w:val="32"/>
          <w:szCs w:val="28"/>
        </w:rPr>
        <w:t>（二）组织开展标准宣贯培训</w:t>
      </w:r>
    </w:p>
    <w:p w14:paraId="38C99CE1">
      <w:pPr>
        <w:keepNext w:val="0"/>
        <w:keepLines w:val="0"/>
        <w:pageBreakBefore w:val="0"/>
        <w:kinsoku/>
        <w:overflowPunct/>
        <w:topLinePunct w:val="0"/>
        <w:bidi w:val="0"/>
        <w:snapToGrid/>
        <w:spacing w:line="560" w:lineRule="exact"/>
        <w:ind w:left="0" w:firstLine="640" w:firstLineChars="200"/>
        <w:rPr>
          <w:rFonts w:ascii="仿宋_GB2312" w:hAnsi="宋体" w:eastAsia="仿宋_GB2312"/>
          <w:sz w:val="32"/>
          <w:szCs w:val="28"/>
        </w:rPr>
      </w:pPr>
      <w:r>
        <w:rPr>
          <w:rFonts w:hint="eastAsia" w:ascii="仿宋_GB2312" w:hAnsi="宋体" w:eastAsia="仿宋_GB2312"/>
          <w:sz w:val="32"/>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29942561">
      <w:pPr>
        <w:keepNext w:val="0"/>
        <w:keepLines w:val="0"/>
        <w:pageBreakBefore w:val="0"/>
        <w:kinsoku/>
        <w:overflowPunct/>
        <w:topLinePunct w:val="0"/>
        <w:bidi w:val="0"/>
        <w:snapToGrid/>
        <w:spacing w:line="560" w:lineRule="exact"/>
        <w:ind w:left="0" w:firstLine="643" w:firstLineChars="200"/>
        <w:rPr>
          <w:rFonts w:ascii="仿宋_GB2312" w:hAnsi="宋体" w:eastAsia="仿宋_GB2312"/>
          <w:b/>
          <w:sz w:val="32"/>
          <w:szCs w:val="28"/>
        </w:rPr>
      </w:pPr>
      <w:r>
        <w:rPr>
          <w:rFonts w:hint="eastAsia" w:ascii="仿宋_GB2312" w:hAnsi="宋体" w:eastAsia="仿宋_GB2312"/>
          <w:b/>
          <w:sz w:val="32"/>
          <w:szCs w:val="28"/>
        </w:rPr>
        <w:t>（三）开展标准实施交流会，收集标准实施反馈信息</w:t>
      </w:r>
    </w:p>
    <w:p w14:paraId="336AB236">
      <w:pPr>
        <w:keepNext w:val="0"/>
        <w:keepLines w:val="0"/>
        <w:pageBreakBefore w:val="0"/>
        <w:kinsoku/>
        <w:overflowPunct/>
        <w:topLinePunct w:val="0"/>
        <w:bidi w:val="0"/>
        <w:snapToGrid/>
        <w:spacing w:line="560" w:lineRule="exact"/>
        <w:ind w:left="0" w:firstLine="640" w:firstLineChars="200"/>
        <w:rPr>
          <w:rFonts w:ascii="仿宋_GB2312" w:hAnsi="宋体" w:eastAsia="仿宋_GB2312"/>
          <w:sz w:val="32"/>
          <w:szCs w:val="28"/>
        </w:rPr>
      </w:pPr>
      <w:r>
        <w:rPr>
          <w:rFonts w:hint="eastAsia" w:ascii="仿宋_GB2312" w:hAnsi="宋体" w:eastAsia="仿宋_GB2312"/>
          <w:sz w:val="32"/>
          <w:szCs w:val="28"/>
        </w:rPr>
        <w:t>标准起草小组深入各市县相关机构、单位组织技术人员召开标准实施交流会，听取标准实施过程中存在的问题并做好记录和解答，对存在的问题组织专家团队进行研讨，为标准的复审修订做准备。</w:t>
      </w:r>
    </w:p>
    <w:p w14:paraId="1F438F65">
      <w:pPr>
        <w:keepNext w:val="0"/>
        <w:keepLines w:val="0"/>
        <w:pageBreakBefore w:val="0"/>
        <w:kinsoku/>
        <w:overflowPunct/>
        <w:topLinePunct w:val="0"/>
        <w:bidi w:val="0"/>
        <w:snapToGrid/>
        <w:spacing w:line="560" w:lineRule="exact"/>
        <w:ind w:left="0" w:firstLine="643" w:firstLineChars="200"/>
        <w:rPr>
          <w:rFonts w:ascii="仿宋_GB2312" w:hAnsi="宋体" w:eastAsia="仿宋_GB2312"/>
          <w:b/>
          <w:sz w:val="32"/>
          <w:szCs w:val="28"/>
        </w:rPr>
      </w:pPr>
      <w:r>
        <w:rPr>
          <w:rFonts w:hint="eastAsia" w:ascii="仿宋_GB2312" w:hAnsi="宋体" w:eastAsia="仿宋_GB2312"/>
          <w:b/>
          <w:sz w:val="32"/>
          <w:szCs w:val="28"/>
        </w:rPr>
        <w:t>（四）开展标准实施效果评估</w:t>
      </w:r>
    </w:p>
    <w:p w14:paraId="7DE0DDFE">
      <w:pPr>
        <w:keepNext w:val="0"/>
        <w:keepLines w:val="0"/>
        <w:pageBreakBefore w:val="0"/>
        <w:kinsoku/>
        <w:overflowPunct/>
        <w:topLinePunct w:val="0"/>
        <w:bidi w:val="0"/>
        <w:snapToGrid/>
        <w:spacing w:line="560" w:lineRule="exact"/>
        <w:ind w:left="0" w:firstLine="640" w:firstLineChars="200"/>
        <w:rPr>
          <w:rFonts w:ascii="仿宋_GB2312" w:hAnsi="宋体" w:eastAsia="仿宋_GB2312"/>
          <w:sz w:val="32"/>
          <w:szCs w:val="28"/>
        </w:rPr>
      </w:pPr>
      <w:r>
        <w:rPr>
          <w:rFonts w:hint="eastAsia" w:ascii="仿宋_GB2312" w:hAnsi="宋体" w:eastAsia="仿宋_GB2312"/>
          <w:sz w:val="32"/>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36B16457">
      <w:pPr>
        <w:keepNext w:val="0"/>
        <w:keepLines w:val="0"/>
        <w:pageBreakBefore w:val="0"/>
        <w:kinsoku/>
        <w:overflowPunct/>
        <w:topLinePunct w:val="0"/>
        <w:autoSpaceDE w:val="0"/>
        <w:autoSpaceDN w:val="0"/>
        <w:bidi w:val="0"/>
        <w:adjustRightInd w:val="0"/>
        <w:snapToGrid/>
        <w:spacing w:line="560" w:lineRule="exact"/>
        <w:ind w:left="0" w:firstLine="640" w:firstLineChars="200"/>
        <w:jc w:val="left"/>
        <w:rPr>
          <w:rFonts w:ascii="黑体" w:hAnsi="黑体" w:eastAsia="黑体" w:cs="仿宋_GB2312"/>
          <w:sz w:val="32"/>
          <w:szCs w:val="32"/>
        </w:rPr>
      </w:pPr>
      <w:r>
        <w:rPr>
          <w:rFonts w:hint="eastAsia" w:ascii="黑体" w:hAnsi="黑体" w:eastAsia="黑体" w:cs="仿宋_GB2312"/>
          <w:sz w:val="32"/>
          <w:szCs w:val="32"/>
        </w:rPr>
        <w:t>八、其他应当说明的事项</w:t>
      </w:r>
    </w:p>
    <w:p w14:paraId="23A53EB2">
      <w:pPr>
        <w:keepNext w:val="0"/>
        <w:keepLines w:val="0"/>
        <w:pageBreakBefore w:val="0"/>
        <w:kinsoku/>
        <w:overflowPunct/>
        <w:topLinePunct w:val="0"/>
        <w:bidi w:val="0"/>
        <w:snapToGrid/>
        <w:spacing w:line="560" w:lineRule="exact"/>
        <w:ind w:left="0" w:firstLine="640" w:firstLineChars="200"/>
        <w:rPr>
          <w:rFonts w:ascii="仿宋_GB2312" w:hAnsi="宋体" w:eastAsia="仿宋_GB2312"/>
          <w:sz w:val="32"/>
          <w:szCs w:val="28"/>
        </w:rPr>
      </w:pPr>
      <w:r>
        <w:rPr>
          <w:rFonts w:hint="eastAsia" w:ascii="仿宋_GB2312" w:hAnsi="宋体" w:eastAsia="仿宋_GB2312"/>
          <w:sz w:val="32"/>
          <w:szCs w:val="28"/>
        </w:rPr>
        <w:t>无。</w:t>
      </w:r>
    </w:p>
    <w:p w14:paraId="1562F1AF">
      <w:pPr>
        <w:keepNext w:val="0"/>
        <w:keepLines w:val="0"/>
        <w:pageBreakBefore w:val="0"/>
        <w:kinsoku/>
        <w:overflowPunct/>
        <w:topLinePunct w:val="0"/>
        <w:bidi w:val="0"/>
        <w:snapToGrid/>
        <w:spacing w:line="560" w:lineRule="exact"/>
        <w:ind w:left="0"/>
        <w:rPr>
          <w:rFonts w:ascii="仿宋_GB2312" w:hAnsi="仿宋" w:eastAsia="仿宋_GB2312"/>
          <w:bCs/>
          <w:color w:val="000000"/>
          <w:sz w:val="36"/>
          <w:szCs w:val="32"/>
        </w:rPr>
      </w:pPr>
    </w:p>
    <w:p w14:paraId="0FDE70D6">
      <w:pPr>
        <w:keepNext w:val="0"/>
        <w:keepLines w:val="0"/>
        <w:pageBreakBefore w:val="0"/>
        <w:kinsoku/>
        <w:overflowPunct/>
        <w:topLinePunct w:val="0"/>
        <w:bidi w:val="0"/>
        <w:snapToGrid/>
        <w:spacing w:line="560" w:lineRule="exact"/>
        <w:ind w:left="0"/>
        <w:rPr>
          <w:rFonts w:ascii="仿宋_GB2312" w:hAnsi="仿宋" w:eastAsia="仿宋_GB2312"/>
          <w:bCs/>
          <w:color w:val="000000"/>
          <w:sz w:val="36"/>
          <w:szCs w:val="32"/>
        </w:rPr>
      </w:pPr>
    </w:p>
    <w:p w14:paraId="639B864D">
      <w:pPr>
        <w:keepNext w:val="0"/>
        <w:keepLines w:val="0"/>
        <w:pageBreakBefore w:val="0"/>
        <w:kinsoku/>
        <w:wordWrap w:val="0"/>
        <w:overflowPunct/>
        <w:topLinePunct w:val="0"/>
        <w:bidi w:val="0"/>
        <w:snapToGrid/>
        <w:spacing w:line="560" w:lineRule="exact"/>
        <w:ind w:left="0"/>
        <w:jc w:val="right"/>
        <w:rPr>
          <w:rFonts w:ascii="仿宋_GB2312" w:hAnsi="宋体" w:eastAsia="仿宋_GB2312"/>
          <w:sz w:val="32"/>
          <w:szCs w:val="28"/>
        </w:rPr>
      </w:pPr>
      <w:r>
        <w:rPr>
          <w:rFonts w:hint="eastAsia" w:ascii="仿宋_GB2312" w:hAnsi="宋体" w:eastAsia="仿宋_GB2312"/>
          <w:sz w:val="32"/>
          <w:szCs w:val="28"/>
        </w:rPr>
        <w:t>团体标准《</w:t>
      </w:r>
      <w:r>
        <w:rPr>
          <w:rFonts w:hint="eastAsia" w:ascii="仿宋_GB2312" w:hAnsi="宋体"/>
          <w:sz w:val="32"/>
          <w:szCs w:val="28"/>
          <w:lang w:val="en-US" w:eastAsia="zh-CN"/>
        </w:rPr>
        <w:t>猪人工授精技术规程</w:t>
      </w:r>
      <w:r>
        <w:rPr>
          <w:rFonts w:hint="eastAsia" w:ascii="仿宋_GB2312" w:hAnsi="宋体" w:eastAsia="仿宋_GB2312"/>
          <w:sz w:val="32"/>
          <w:szCs w:val="28"/>
        </w:rPr>
        <w:t>》</w:t>
      </w:r>
    </w:p>
    <w:p w14:paraId="607C1987">
      <w:pPr>
        <w:keepNext w:val="0"/>
        <w:keepLines w:val="0"/>
        <w:pageBreakBefore w:val="0"/>
        <w:kinsoku/>
        <w:wordWrap w:val="0"/>
        <w:overflowPunct/>
        <w:topLinePunct w:val="0"/>
        <w:bidi w:val="0"/>
        <w:snapToGrid/>
        <w:spacing w:line="560" w:lineRule="exact"/>
        <w:ind w:left="0"/>
        <w:jc w:val="right"/>
        <w:rPr>
          <w:rFonts w:ascii="仿宋_GB2312" w:hAnsi="宋体" w:eastAsia="仿宋_GB2312"/>
          <w:sz w:val="32"/>
          <w:szCs w:val="28"/>
        </w:rPr>
      </w:pPr>
      <w:r>
        <w:rPr>
          <w:rFonts w:hint="eastAsia" w:ascii="仿宋_GB2312" w:hAnsi="宋体" w:eastAsia="仿宋_GB2312"/>
          <w:sz w:val="32"/>
          <w:szCs w:val="28"/>
        </w:rPr>
        <w:t xml:space="preserve">标准编制工作组 </w:t>
      </w:r>
      <w:r>
        <w:rPr>
          <w:rFonts w:ascii="仿宋_GB2312" w:hAnsi="宋体" w:eastAsia="仿宋_GB2312"/>
          <w:sz w:val="32"/>
          <w:szCs w:val="28"/>
        </w:rPr>
        <w:t xml:space="preserve">        </w:t>
      </w:r>
    </w:p>
    <w:p w14:paraId="13EC3CEB">
      <w:pPr>
        <w:keepNext w:val="0"/>
        <w:keepLines w:val="0"/>
        <w:pageBreakBefore w:val="0"/>
        <w:kinsoku/>
        <w:wordWrap w:val="0"/>
        <w:overflowPunct/>
        <w:topLinePunct w:val="0"/>
        <w:bidi w:val="0"/>
        <w:snapToGrid/>
        <w:spacing w:line="560" w:lineRule="exact"/>
        <w:ind w:left="0"/>
        <w:jc w:val="right"/>
        <w:rPr>
          <w:rFonts w:ascii="仿宋_GB2312" w:hAnsi="宋体" w:eastAsia="仿宋_GB2312"/>
          <w:color w:val="FF0000"/>
          <w:sz w:val="32"/>
          <w:szCs w:val="28"/>
        </w:rPr>
      </w:pPr>
      <w:r>
        <w:rPr>
          <w:rFonts w:hint="eastAsia" w:ascii="仿宋_GB2312" w:hAnsi="宋体" w:eastAsia="仿宋_GB2312"/>
          <w:color w:val="auto"/>
          <w:sz w:val="32"/>
          <w:szCs w:val="28"/>
        </w:rPr>
        <w:t>202</w:t>
      </w:r>
      <w:r>
        <w:rPr>
          <w:rFonts w:hint="eastAsia" w:ascii="仿宋_GB2312" w:hAnsi="宋体"/>
          <w:color w:val="auto"/>
          <w:sz w:val="32"/>
          <w:szCs w:val="28"/>
          <w:lang w:val="en-US" w:eastAsia="zh-CN"/>
        </w:rPr>
        <w:t>5</w:t>
      </w:r>
      <w:r>
        <w:rPr>
          <w:rFonts w:hint="eastAsia" w:ascii="仿宋_GB2312" w:hAnsi="宋体" w:eastAsia="仿宋_GB2312"/>
          <w:color w:val="auto"/>
          <w:sz w:val="32"/>
          <w:szCs w:val="28"/>
        </w:rPr>
        <w:t>年</w:t>
      </w:r>
      <w:r>
        <w:rPr>
          <w:rFonts w:ascii="仿宋_GB2312" w:hAnsi="宋体" w:eastAsia="仿宋_GB2312"/>
          <w:color w:val="auto"/>
          <w:sz w:val="32"/>
          <w:szCs w:val="28"/>
        </w:rPr>
        <w:t>9</w:t>
      </w:r>
      <w:r>
        <w:rPr>
          <w:rFonts w:hint="eastAsia" w:ascii="仿宋_GB2312" w:hAnsi="宋体" w:eastAsia="仿宋_GB2312"/>
          <w:color w:val="auto"/>
          <w:sz w:val="32"/>
          <w:szCs w:val="28"/>
        </w:rPr>
        <w:t>月</w:t>
      </w:r>
      <w:r>
        <w:rPr>
          <w:rFonts w:hint="eastAsia" w:ascii="仿宋_GB2312" w:hAnsi="宋体"/>
          <w:color w:val="auto"/>
          <w:sz w:val="32"/>
          <w:szCs w:val="28"/>
          <w:lang w:val="en-US" w:eastAsia="zh-CN"/>
        </w:rPr>
        <w:t>16</w:t>
      </w:r>
      <w:r>
        <w:rPr>
          <w:rFonts w:hint="eastAsia" w:ascii="仿宋_GB2312" w:hAnsi="宋体" w:eastAsia="仿宋_GB2312"/>
          <w:color w:val="auto"/>
          <w:sz w:val="32"/>
          <w:szCs w:val="28"/>
        </w:rPr>
        <w:t>日</w:t>
      </w:r>
      <w:r>
        <w:rPr>
          <w:rFonts w:hint="eastAsia" w:ascii="仿宋_GB2312" w:hAnsi="宋体" w:eastAsia="仿宋_GB2312"/>
          <w:color w:val="FF0000"/>
          <w:sz w:val="32"/>
          <w:szCs w:val="28"/>
        </w:rPr>
        <w:t xml:space="preserve">       </w:t>
      </w:r>
      <w:r>
        <w:rPr>
          <w:rFonts w:ascii="仿宋_GB2312" w:hAnsi="宋体" w:eastAsia="仿宋_GB2312"/>
          <w:color w:val="FF0000"/>
          <w:sz w:val="32"/>
          <w:szCs w:val="28"/>
        </w:rPr>
        <w:t xml:space="preserve"> </w:t>
      </w:r>
    </w:p>
    <w:sectPr>
      <w:footerReference r:id="rId5" w:type="default"/>
      <w:pgSz w:w="11906" w:h="16838"/>
      <w:pgMar w:top="1474" w:right="1474" w:bottom="1474"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docPartObj>
        <w:docPartGallery w:val="autotext"/>
      </w:docPartObj>
    </w:sdtPr>
    <w:sdtContent>
      <w:p w14:paraId="2BE1229F">
        <w:pPr>
          <w:pStyle w:val="4"/>
          <w:jc w:val="center"/>
        </w:pPr>
        <w:r>
          <w:fldChar w:fldCharType="begin"/>
        </w:r>
        <w:r>
          <w:instrText xml:space="preserve">PAGE   \* MERGEFORMAT</w:instrText>
        </w:r>
        <w:r>
          <w:fldChar w:fldCharType="separate"/>
        </w:r>
        <w:r>
          <w:rPr>
            <w:lang w:val="zh-CN"/>
          </w:rPr>
          <w:t>7</w:t>
        </w:r>
        <w:r>
          <w:fldChar w:fldCharType="end"/>
        </w:r>
      </w:p>
    </w:sdtContent>
  </w:sdt>
  <w:p w14:paraId="76F9E80E">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22"/>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DDE2B46"/>
    <w:multiLevelType w:val="multilevel"/>
    <w:tmpl w:val="0DDE2B46"/>
    <w:lvl w:ilvl="0" w:tentative="0">
      <w:start w:val="1"/>
      <w:numFmt w:val="lowerLetter"/>
      <w:pStyle w:val="26"/>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2">
    <w:nsid w:val="1DBF583A"/>
    <w:multiLevelType w:val="multilevel"/>
    <w:tmpl w:val="1DBF583A"/>
    <w:lvl w:ilvl="0" w:tentative="0">
      <w:start w:val="1"/>
      <w:numFmt w:val="decimal"/>
      <w:pStyle w:val="25"/>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3">
    <w:nsid w:val="1FC91163"/>
    <w:multiLevelType w:val="multilevel"/>
    <w:tmpl w:val="1FC91163"/>
    <w:lvl w:ilvl="0" w:tentative="0">
      <w:start w:val="1"/>
      <w:numFmt w:val="decimal"/>
      <w:pStyle w:val="1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6"/>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8"/>
      <w:suff w:val="nothing"/>
      <w:lvlText w:val="%1.%2.%3　"/>
      <w:lvlJc w:val="left"/>
      <w:pPr>
        <w:ind w:left="0" w:firstLine="0"/>
      </w:pPr>
      <w:rPr>
        <w:rFonts w:hint="eastAsia" w:ascii="黑体" w:hAnsi="Times New Roman" w:eastAsia="黑体"/>
        <w:b w:val="0"/>
        <w:i w:val="0"/>
        <w:sz w:val="21"/>
      </w:rPr>
    </w:lvl>
    <w:lvl w:ilvl="3" w:tentative="0">
      <w:start w:val="1"/>
      <w:numFmt w:val="decimal"/>
      <w:pStyle w:val="19"/>
      <w:suff w:val="nothing"/>
      <w:lvlText w:val="%1.%2.%3.%4　"/>
      <w:lvlJc w:val="left"/>
      <w:pPr>
        <w:ind w:left="0" w:firstLine="0"/>
      </w:pPr>
      <w:rPr>
        <w:rFonts w:hint="eastAsia" w:ascii="黑体" w:hAnsi="Times New Roman" w:eastAsia="黑体"/>
        <w:b w:val="0"/>
        <w:i w:val="0"/>
        <w:sz w:val="21"/>
      </w:rPr>
    </w:lvl>
    <w:lvl w:ilvl="4" w:tentative="0">
      <w:start w:val="1"/>
      <w:numFmt w:val="decimal"/>
      <w:pStyle w:val="20"/>
      <w:suff w:val="nothing"/>
      <w:lvlText w:val="%1.%2.%3.%4.%5　"/>
      <w:lvlJc w:val="left"/>
      <w:pPr>
        <w:ind w:left="0" w:firstLine="0"/>
      </w:pPr>
      <w:rPr>
        <w:rFonts w:hint="eastAsia" w:ascii="黑体" w:hAnsi="Times New Roman" w:eastAsia="黑体"/>
        <w:b w:val="0"/>
        <w:i w:val="0"/>
        <w:sz w:val="21"/>
      </w:rPr>
    </w:lvl>
    <w:lvl w:ilvl="5" w:tentative="0">
      <w:start w:val="1"/>
      <w:numFmt w:val="decimal"/>
      <w:pStyle w:val="21"/>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A8F7113"/>
    <w:multiLevelType w:val="multilevel"/>
    <w:tmpl w:val="2A8F7113"/>
    <w:lvl w:ilvl="0" w:tentative="0">
      <w:start w:val="1"/>
      <w:numFmt w:val="upperLetter"/>
      <w:pStyle w:val="23"/>
      <w:suff w:val="space"/>
      <w:lvlText w:val="%1"/>
      <w:lvlJc w:val="left"/>
      <w:pPr>
        <w:ind w:left="623" w:hanging="425"/>
      </w:pPr>
      <w:rPr>
        <w:rFonts w:hint="eastAsia"/>
      </w:rPr>
    </w:lvl>
    <w:lvl w:ilvl="1" w:tentative="0">
      <w:start w:val="1"/>
      <w:numFmt w:val="decimal"/>
      <w:pStyle w:val="24"/>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557C2AF5"/>
    <w:multiLevelType w:val="multilevel"/>
    <w:tmpl w:val="557C2AF5"/>
    <w:lvl w:ilvl="0" w:tentative="0">
      <w:start w:val="1"/>
      <w:numFmt w:val="decimal"/>
      <w:pStyle w:val="1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7">
    <w:nsid w:val="646260FA"/>
    <w:multiLevelType w:val="multilevel"/>
    <w:tmpl w:val="646260FA"/>
    <w:lvl w:ilvl="0" w:tentative="0">
      <w:start w:val="1"/>
      <w:numFmt w:val="decimal"/>
      <w:pStyle w:val="1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7"/>
  </w:num>
  <w:num w:numId="2">
    <w:abstractNumId w:val="5"/>
  </w:num>
  <w:num w:numId="3">
    <w:abstractNumId w:val="3"/>
  </w:num>
  <w:num w:numId="4">
    <w:abstractNumId w:val="0"/>
  </w:num>
  <w:num w:numId="5">
    <w:abstractNumId w:val="4"/>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107BC"/>
    <w:rsid w:val="00013090"/>
    <w:rsid w:val="00016837"/>
    <w:rsid w:val="00021331"/>
    <w:rsid w:val="00023119"/>
    <w:rsid w:val="00023FE2"/>
    <w:rsid w:val="00024212"/>
    <w:rsid w:val="00024664"/>
    <w:rsid w:val="00032CD6"/>
    <w:rsid w:val="00033257"/>
    <w:rsid w:val="00034233"/>
    <w:rsid w:val="00034BDB"/>
    <w:rsid w:val="00047D7B"/>
    <w:rsid w:val="00053B0B"/>
    <w:rsid w:val="000576D0"/>
    <w:rsid w:val="00057758"/>
    <w:rsid w:val="00060FE2"/>
    <w:rsid w:val="0007330D"/>
    <w:rsid w:val="00073F72"/>
    <w:rsid w:val="00074EB1"/>
    <w:rsid w:val="00076BBA"/>
    <w:rsid w:val="00080F2F"/>
    <w:rsid w:val="0008145A"/>
    <w:rsid w:val="0009177A"/>
    <w:rsid w:val="00093E74"/>
    <w:rsid w:val="000962F6"/>
    <w:rsid w:val="000A0201"/>
    <w:rsid w:val="000A1EAE"/>
    <w:rsid w:val="000A3070"/>
    <w:rsid w:val="000A4601"/>
    <w:rsid w:val="000A77CD"/>
    <w:rsid w:val="000B572A"/>
    <w:rsid w:val="000D0ACE"/>
    <w:rsid w:val="000D15BE"/>
    <w:rsid w:val="000D5AC8"/>
    <w:rsid w:val="000D6612"/>
    <w:rsid w:val="000D751C"/>
    <w:rsid w:val="000D7F33"/>
    <w:rsid w:val="000F10EB"/>
    <w:rsid w:val="000F3365"/>
    <w:rsid w:val="000F517A"/>
    <w:rsid w:val="000F5645"/>
    <w:rsid w:val="001012D5"/>
    <w:rsid w:val="00101D2E"/>
    <w:rsid w:val="00103B83"/>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786"/>
    <w:rsid w:val="00134DD4"/>
    <w:rsid w:val="001435D3"/>
    <w:rsid w:val="001449B5"/>
    <w:rsid w:val="001463AC"/>
    <w:rsid w:val="0015152A"/>
    <w:rsid w:val="00156020"/>
    <w:rsid w:val="00156663"/>
    <w:rsid w:val="001611BB"/>
    <w:rsid w:val="00167167"/>
    <w:rsid w:val="001708F8"/>
    <w:rsid w:val="0018112C"/>
    <w:rsid w:val="00183467"/>
    <w:rsid w:val="00190A64"/>
    <w:rsid w:val="00190C6A"/>
    <w:rsid w:val="00191774"/>
    <w:rsid w:val="00191DCE"/>
    <w:rsid w:val="001923CF"/>
    <w:rsid w:val="001925FD"/>
    <w:rsid w:val="001930A1"/>
    <w:rsid w:val="00194FE3"/>
    <w:rsid w:val="00196054"/>
    <w:rsid w:val="0019711F"/>
    <w:rsid w:val="001A0DBF"/>
    <w:rsid w:val="001A3402"/>
    <w:rsid w:val="001B0E92"/>
    <w:rsid w:val="001B36E5"/>
    <w:rsid w:val="001B3B17"/>
    <w:rsid w:val="001C5F01"/>
    <w:rsid w:val="001C793C"/>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4221"/>
    <w:rsid w:val="00217683"/>
    <w:rsid w:val="002223DD"/>
    <w:rsid w:val="002231E8"/>
    <w:rsid w:val="00223EB7"/>
    <w:rsid w:val="00224EB8"/>
    <w:rsid w:val="00231E62"/>
    <w:rsid w:val="00232769"/>
    <w:rsid w:val="00244ADA"/>
    <w:rsid w:val="00244C0C"/>
    <w:rsid w:val="002465C7"/>
    <w:rsid w:val="002526F3"/>
    <w:rsid w:val="00254F7A"/>
    <w:rsid w:val="00256FE0"/>
    <w:rsid w:val="002614C6"/>
    <w:rsid w:val="002621E1"/>
    <w:rsid w:val="00262753"/>
    <w:rsid w:val="00262771"/>
    <w:rsid w:val="00262F6C"/>
    <w:rsid w:val="00264A7D"/>
    <w:rsid w:val="00264CE4"/>
    <w:rsid w:val="002651A9"/>
    <w:rsid w:val="00266090"/>
    <w:rsid w:val="0027235B"/>
    <w:rsid w:val="00283085"/>
    <w:rsid w:val="00283E25"/>
    <w:rsid w:val="0029084D"/>
    <w:rsid w:val="00291D7F"/>
    <w:rsid w:val="00291EF3"/>
    <w:rsid w:val="002952AC"/>
    <w:rsid w:val="002A2FCF"/>
    <w:rsid w:val="002A4D06"/>
    <w:rsid w:val="002A5D80"/>
    <w:rsid w:val="002B07E3"/>
    <w:rsid w:val="002B23AB"/>
    <w:rsid w:val="002B2E35"/>
    <w:rsid w:val="002B3D69"/>
    <w:rsid w:val="002B5497"/>
    <w:rsid w:val="002C1D2A"/>
    <w:rsid w:val="002C4FFB"/>
    <w:rsid w:val="002C5534"/>
    <w:rsid w:val="002C611B"/>
    <w:rsid w:val="002C73B6"/>
    <w:rsid w:val="002D49CC"/>
    <w:rsid w:val="002D6D1E"/>
    <w:rsid w:val="002E073F"/>
    <w:rsid w:val="002E7467"/>
    <w:rsid w:val="002E7A35"/>
    <w:rsid w:val="002F34AA"/>
    <w:rsid w:val="002F4B59"/>
    <w:rsid w:val="002F4D7B"/>
    <w:rsid w:val="002F513F"/>
    <w:rsid w:val="002F613B"/>
    <w:rsid w:val="003025DF"/>
    <w:rsid w:val="00303E23"/>
    <w:rsid w:val="00304BFD"/>
    <w:rsid w:val="00306925"/>
    <w:rsid w:val="0031011D"/>
    <w:rsid w:val="003144B8"/>
    <w:rsid w:val="00314640"/>
    <w:rsid w:val="00327623"/>
    <w:rsid w:val="0033375C"/>
    <w:rsid w:val="0034090F"/>
    <w:rsid w:val="00343C24"/>
    <w:rsid w:val="00345BCC"/>
    <w:rsid w:val="00353735"/>
    <w:rsid w:val="00354D06"/>
    <w:rsid w:val="00356D19"/>
    <w:rsid w:val="00357A1D"/>
    <w:rsid w:val="00357E18"/>
    <w:rsid w:val="0036001E"/>
    <w:rsid w:val="00360952"/>
    <w:rsid w:val="00362F10"/>
    <w:rsid w:val="00365252"/>
    <w:rsid w:val="00372A01"/>
    <w:rsid w:val="00372C98"/>
    <w:rsid w:val="00373BAD"/>
    <w:rsid w:val="00374390"/>
    <w:rsid w:val="003754CF"/>
    <w:rsid w:val="00381796"/>
    <w:rsid w:val="00382AB2"/>
    <w:rsid w:val="00386647"/>
    <w:rsid w:val="00391984"/>
    <w:rsid w:val="00392E22"/>
    <w:rsid w:val="00396025"/>
    <w:rsid w:val="003B2F32"/>
    <w:rsid w:val="003B5050"/>
    <w:rsid w:val="003B729F"/>
    <w:rsid w:val="003C2D44"/>
    <w:rsid w:val="003C483D"/>
    <w:rsid w:val="003D3AF0"/>
    <w:rsid w:val="003D48B6"/>
    <w:rsid w:val="003D51D0"/>
    <w:rsid w:val="003D5CB5"/>
    <w:rsid w:val="003D6E58"/>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2062E"/>
    <w:rsid w:val="00424AF1"/>
    <w:rsid w:val="00424FCB"/>
    <w:rsid w:val="00425860"/>
    <w:rsid w:val="00427B81"/>
    <w:rsid w:val="00434E46"/>
    <w:rsid w:val="00434F90"/>
    <w:rsid w:val="004378E4"/>
    <w:rsid w:val="0044118D"/>
    <w:rsid w:val="004441BD"/>
    <w:rsid w:val="004503F4"/>
    <w:rsid w:val="0045483D"/>
    <w:rsid w:val="00455661"/>
    <w:rsid w:val="0046025A"/>
    <w:rsid w:val="00460359"/>
    <w:rsid w:val="004605D8"/>
    <w:rsid w:val="004626AF"/>
    <w:rsid w:val="00465230"/>
    <w:rsid w:val="00467DEF"/>
    <w:rsid w:val="004715D8"/>
    <w:rsid w:val="004805D0"/>
    <w:rsid w:val="00480BA1"/>
    <w:rsid w:val="004814A9"/>
    <w:rsid w:val="0048357F"/>
    <w:rsid w:val="00484EF3"/>
    <w:rsid w:val="00485212"/>
    <w:rsid w:val="004865C9"/>
    <w:rsid w:val="0049011A"/>
    <w:rsid w:val="00491FE3"/>
    <w:rsid w:val="0049241F"/>
    <w:rsid w:val="0049390C"/>
    <w:rsid w:val="004A25C4"/>
    <w:rsid w:val="004A2878"/>
    <w:rsid w:val="004A614E"/>
    <w:rsid w:val="004A660C"/>
    <w:rsid w:val="004A76AB"/>
    <w:rsid w:val="004B2E7F"/>
    <w:rsid w:val="004C4136"/>
    <w:rsid w:val="004D155D"/>
    <w:rsid w:val="004D2302"/>
    <w:rsid w:val="004D5B22"/>
    <w:rsid w:val="004E3026"/>
    <w:rsid w:val="004F0593"/>
    <w:rsid w:val="004F48C2"/>
    <w:rsid w:val="004F74F0"/>
    <w:rsid w:val="004F7FA9"/>
    <w:rsid w:val="005009D1"/>
    <w:rsid w:val="0050156A"/>
    <w:rsid w:val="00505469"/>
    <w:rsid w:val="005066ED"/>
    <w:rsid w:val="005067C2"/>
    <w:rsid w:val="0051028F"/>
    <w:rsid w:val="0051148B"/>
    <w:rsid w:val="00513080"/>
    <w:rsid w:val="00514C97"/>
    <w:rsid w:val="005159F5"/>
    <w:rsid w:val="00526200"/>
    <w:rsid w:val="005269CF"/>
    <w:rsid w:val="00533886"/>
    <w:rsid w:val="0053418A"/>
    <w:rsid w:val="00535AC6"/>
    <w:rsid w:val="00537550"/>
    <w:rsid w:val="0054317B"/>
    <w:rsid w:val="00546DEA"/>
    <w:rsid w:val="005639F8"/>
    <w:rsid w:val="005656AA"/>
    <w:rsid w:val="005742DB"/>
    <w:rsid w:val="00577C08"/>
    <w:rsid w:val="005802BD"/>
    <w:rsid w:val="0058151C"/>
    <w:rsid w:val="00581CE7"/>
    <w:rsid w:val="00582F5C"/>
    <w:rsid w:val="0058472C"/>
    <w:rsid w:val="005870E5"/>
    <w:rsid w:val="005873D6"/>
    <w:rsid w:val="005876DE"/>
    <w:rsid w:val="00596702"/>
    <w:rsid w:val="005A1A17"/>
    <w:rsid w:val="005A4523"/>
    <w:rsid w:val="005A4707"/>
    <w:rsid w:val="005B0CDC"/>
    <w:rsid w:val="005B23F7"/>
    <w:rsid w:val="005B7128"/>
    <w:rsid w:val="005B76D5"/>
    <w:rsid w:val="005B7B7E"/>
    <w:rsid w:val="005C468E"/>
    <w:rsid w:val="005D06D6"/>
    <w:rsid w:val="005D1EE1"/>
    <w:rsid w:val="005D2762"/>
    <w:rsid w:val="005D2AEE"/>
    <w:rsid w:val="005D3F96"/>
    <w:rsid w:val="005D5DDF"/>
    <w:rsid w:val="005D6A5C"/>
    <w:rsid w:val="005E05D4"/>
    <w:rsid w:val="005E207A"/>
    <w:rsid w:val="005E2143"/>
    <w:rsid w:val="005F0995"/>
    <w:rsid w:val="005F1E35"/>
    <w:rsid w:val="005F36D9"/>
    <w:rsid w:val="005F4F92"/>
    <w:rsid w:val="005F6C71"/>
    <w:rsid w:val="005F71EC"/>
    <w:rsid w:val="005F7613"/>
    <w:rsid w:val="006062AE"/>
    <w:rsid w:val="0060656D"/>
    <w:rsid w:val="00606B5A"/>
    <w:rsid w:val="00610884"/>
    <w:rsid w:val="00614347"/>
    <w:rsid w:val="006147DA"/>
    <w:rsid w:val="0062702A"/>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A1BD7"/>
    <w:rsid w:val="006A3112"/>
    <w:rsid w:val="006B1080"/>
    <w:rsid w:val="006B6EA3"/>
    <w:rsid w:val="006C0CC1"/>
    <w:rsid w:val="006C6B87"/>
    <w:rsid w:val="006C70ED"/>
    <w:rsid w:val="006D4B56"/>
    <w:rsid w:val="006D4CCC"/>
    <w:rsid w:val="006D5D5F"/>
    <w:rsid w:val="006E155C"/>
    <w:rsid w:val="006E65EC"/>
    <w:rsid w:val="006E7520"/>
    <w:rsid w:val="006F03ED"/>
    <w:rsid w:val="006F67E6"/>
    <w:rsid w:val="006F77F7"/>
    <w:rsid w:val="00700D32"/>
    <w:rsid w:val="0070138D"/>
    <w:rsid w:val="00701A2B"/>
    <w:rsid w:val="0070266E"/>
    <w:rsid w:val="00705429"/>
    <w:rsid w:val="0070730B"/>
    <w:rsid w:val="00712BC5"/>
    <w:rsid w:val="00715CA4"/>
    <w:rsid w:val="00716EAC"/>
    <w:rsid w:val="00720395"/>
    <w:rsid w:val="00722AAE"/>
    <w:rsid w:val="0072448B"/>
    <w:rsid w:val="007245EF"/>
    <w:rsid w:val="00726016"/>
    <w:rsid w:val="00726F82"/>
    <w:rsid w:val="007432F4"/>
    <w:rsid w:val="0075401E"/>
    <w:rsid w:val="00755471"/>
    <w:rsid w:val="007556A8"/>
    <w:rsid w:val="00756686"/>
    <w:rsid w:val="00760DDA"/>
    <w:rsid w:val="00760FBD"/>
    <w:rsid w:val="007768A2"/>
    <w:rsid w:val="00776FE6"/>
    <w:rsid w:val="007812EA"/>
    <w:rsid w:val="00781F1A"/>
    <w:rsid w:val="00782C84"/>
    <w:rsid w:val="00784D8F"/>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520B"/>
    <w:rsid w:val="007D5225"/>
    <w:rsid w:val="007D6192"/>
    <w:rsid w:val="007D646F"/>
    <w:rsid w:val="007E0035"/>
    <w:rsid w:val="007F05BA"/>
    <w:rsid w:val="007F1688"/>
    <w:rsid w:val="007F17C2"/>
    <w:rsid w:val="007F3051"/>
    <w:rsid w:val="007F445F"/>
    <w:rsid w:val="007F69C4"/>
    <w:rsid w:val="00800158"/>
    <w:rsid w:val="00800C49"/>
    <w:rsid w:val="00805B1A"/>
    <w:rsid w:val="00812666"/>
    <w:rsid w:val="00816354"/>
    <w:rsid w:val="00825BEF"/>
    <w:rsid w:val="008275DE"/>
    <w:rsid w:val="0083025F"/>
    <w:rsid w:val="00831A4E"/>
    <w:rsid w:val="00834158"/>
    <w:rsid w:val="00834F29"/>
    <w:rsid w:val="00837133"/>
    <w:rsid w:val="00841FDD"/>
    <w:rsid w:val="00843099"/>
    <w:rsid w:val="00844A63"/>
    <w:rsid w:val="00845B6B"/>
    <w:rsid w:val="0085555C"/>
    <w:rsid w:val="0085722C"/>
    <w:rsid w:val="00860076"/>
    <w:rsid w:val="00864B42"/>
    <w:rsid w:val="00864EDC"/>
    <w:rsid w:val="008717FD"/>
    <w:rsid w:val="00872085"/>
    <w:rsid w:val="0087311E"/>
    <w:rsid w:val="008766A7"/>
    <w:rsid w:val="0088023F"/>
    <w:rsid w:val="00884AB2"/>
    <w:rsid w:val="008853E8"/>
    <w:rsid w:val="00890B67"/>
    <w:rsid w:val="00893361"/>
    <w:rsid w:val="00893A8E"/>
    <w:rsid w:val="00893CE3"/>
    <w:rsid w:val="008941F8"/>
    <w:rsid w:val="0089639E"/>
    <w:rsid w:val="0089684C"/>
    <w:rsid w:val="008A328F"/>
    <w:rsid w:val="008A42EB"/>
    <w:rsid w:val="008A4E58"/>
    <w:rsid w:val="008A5709"/>
    <w:rsid w:val="008B1A6F"/>
    <w:rsid w:val="008B35DA"/>
    <w:rsid w:val="008B6562"/>
    <w:rsid w:val="008B7C56"/>
    <w:rsid w:val="008C1BE0"/>
    <w:rsid w:val="008C5328"/>
    <w:rsid w:val="008C6844"/>
    <w:rsid w:val="008D1502"/>
    <w:rsid w:val="008D2E6B"/>
    <w:rsid w:val="008D3059"/>
    <w:rsid w:val="008D44E2"/>
    <w:rsid w:val="008D5C1F"/>
    <w:rsid w:val="008D612C"/>
    <w:rsid w:val="008E0C90"/>
    <w:rsid w:val="008E340A"/>
    <w:rsid w:val="008F024A"/>
    <w:rsid w:val="008F4CD3"/>
    <w:rsid w:val="008F62FB"/>
    <w:rsid w:val="00900B1D"/>
    <w:rsid w:val="00901C67"/>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A4E"/>
    <w:rsid w:val="00987C57"/>
    <w:rsid w:val="0099188F"/>
    <w:rsid w:val="00993328"/>
    <w:rsid w:val="00995822"/>
    <w:rsid w:val="00997A44"/>
    <w:rsid w:val="009A1FC7"/>
    <w:rsid w:val="009A7254"/>
    <w:rsid w:val="009B2BF4"/>
    <w:rsid w:val="009B52A3"/>
    <w:rsid w:val="009B53BA"/>
    <w:rsid w:val="009B609B"/>
    <w:rsid w:val="009B6F4E"/>
    <w:rsid w:val="009B6FA5"/>
    <w:rsid w:val="009B74CD"/>
    <w:rsid w:val="009D1F6F"/>
    <w:rsid w:val="009D38DB"/>
    <w:rsid w:val="009D3D0A"/>
    <w:rsid w:val="009D628E"/>
    <w:rsid w:val="009D62DE"/>
    <w:rsid w:val="009E1F06"/>
    <w:rsid w:val="009E5DEF"/>
    <w:rsid w:val="009E6B6B"/>
    <w:rsid w:val="009F3B36"/>
    <w:rsid w:val="009F79E3"/>
    <w:rsid w:val="00A01A52"/>
    <w:rsid w:val="00A02A0A"/>
    <w:rsid w:val="00A04717"/>
    <w:rsid w:val="00A04E49"/>
    <w:rsid w:val="00A10236"/>
    <w:rsid w:val="00A10B7E"/>
    <w:rsid w:val="00A11E9D"/>
    <w:rsid w:val="00A1598C"/>
    <w:rsid w:val="00A15EDE"/>
    <w:rsid w:val="00A163CB"/>
    <w:rsid w:val="00A24789"/>
    <w:rsid w:val="00A25268"/>
    <w:rsid w:val="00A34924"/>
    <w:rsid w:val="00A35F3F"/>
    <w:rsid w:val="00A40234"/>
    <w:rsid w:val="00A4496C"/>
    <w:rsid w:val="00A51BDA"/>
    <w:rsid w:val="00A52FED"/>
    <w:rsid w:val="00A547EA"/>
    <w:rsid w:val="00A54EE3"/>
    <w:rsid w:val="00A60040"/>
    <w:rsid w:val="00A61125"/>
    <w:rsid w:val="00A64033"/>
    <w:rsid w:val="00A65635"/>
    <w:rsid w:val="00A66230"/>
    <w:rsid w:val="00A66B33"/>
    <w:rsid w:val="00A706DE"/>
    <w:rsid w:val="00A70BEA"/>
    <w:rsid w:val="00A7226B"/>
    <w:rsid w:val="00A77E2C"/>
    <w:rsid w:val="00A806B3"/>
    <w:rsid w:val="00A80E57"/>
    <w:rsid w:val="00A82337"/>
    <w:rsid w:val="00A90118"/>
    <w:rsid w:val="00A90821"/>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D1275"/>
    <w:rsid w:val="00AD56BA"/>
    <w:rsid w:val="00AE5941"/>
    <w:rsid w:val="00AE7E72"/>
    <w:rsid w:val="00AF00B0"/>
    <w:rsid w:val="00AF0B6E"/>
    <w:rsid w:val="00AF0C1B"/>
    <w:rsid w:val="00AF1152"/>
    <w:rsid w:val="00AF20DE"/>
    <w:rsid w:val="00AF2C7E"/>
    <w:rsid w:val="00AF337C"/>
    <w:rsid w:val="00AF365B"/>
    <w:rsid w:val="00AF3BC9"/>
    <w:rsid w:val="00B0152E"/>
    <w:rsid w:val="00B06F77"/>
    <w:rsid w:val="00B17EA4"/>
    <w:rsid w:val="00B2401D"/>
    <w:rsid w:val="00B271E2"/>
    <w:rsid w:val="00B27F1E"/>
    <w:rsid w:val="00B320E0"/>
    <w:rsid w:val="00B32D83"/>
    <w:rsid w:val="00B35A2B"/>
    <w:rsid w:val="00B44C87"/>
    <w:rsid w:val="00B4777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73B1"/>
    <w:rsid w:val="00B91C42"/>
    <w:rsid w:val="00BB0ED6"/>
    <w:rsid w:val="00BB1C0A"/>
    <w:rsid w:val="00BB4376"/>
    <w:rsid w:val="00BB4A45"/>
    <w:rsid w:val="00BB4B74"/>
    <w:rsid w:val="00BB6FED"/>
    <w:rsid w:val="00BC41B2"/>
    <w:rsid w:val="00BC45B6"/>
    <w:rsid w:val="00BC4F9E"/>
    <w:rsid w:val="00BE0799"/>
    <w:rsid w:val="00BE26D9"/>
    <w:rsid w:val="00BE32F3"/>
    <w:rsid w:val="00BF1119"/>
    <w:rsid w:val="00BF5510"/>
    <w:rsid w:val="00C00C31"/>
    <w:rsid w:val="00C070A2"/>
    <w:rsid w:val="00C10D37"/>
    <w:rsid w:val="00C13A0F"/>
    <w:rsid w:val="00C14C4A"/>
    <w:rsid w:val="00C17E66"/>
    <w:rsid w:val="00C22482"/>
    <w:rsid w:val="00C242A9"/>
    <w:rsid w:val="00C24D87"/>
    <w:rsid w:val="00C3032A"/>
    <w:rsid w:val="00C31C6D"/>
    <w:rsid w:val="00C31FF2"/>
    <w:rsid w:val="00C33C36"/>
    <w:rsid w:val="00C34E53"/>
    <w:rsid w:val="00C37264"/>
    <w:rsid w:val="00C408D1"/>
    <w:rsid w:val="00C44645"/>
    <w:rsid w:val="00C50A3F"/>
    <w:rsid w:val="00C51474"/>
    <w:rsid w:val="00C51847"/>
    <w:rsid w:val="00C55C36"/>
    <w:rsid w:val="00C61072"/>
    <w:rsid w:val="00C6137D"/>
    <w:rsid w:val="00C61540"/>
    <w:rsid w:val="00C61B0C"/>
    <w:rsid w:val="00C634E4"/>
    <w:rsid w:val="00C67D4C"/>
    <w:rsid w:val="00C706FA"/>
    <w:rsid w:val="00C808FE"/>
    <w:rsid w:val="00C81D18"/>
    <w:rsid w:val="00C82258"/>
    <w:rsid w:val="00C82744"/>
    <w:rsid w:val="00C836D9"/>
    <w:rsid w:val="00C84109"/>
    <w:rsid w:val="00C843F0"/>
    <w:rsid w:val="00C85F66"/>
    <w:rsid w:val="00C95F0B"/>
    <w:rsid w:val="00CA0CFD"/>
    <w:rsid w:val="00CA37C8"/>
    <w:rsid w:val="00CA5047"/>
    <w:rsid w:val="00CA7C2A"/>
    <w:rsid w:val="00CC1221"/>
    <w:rsid w:val="00CC4EE7"/>
    <w:rsid w:val="00CD4CC6"/>
    <w:rsid w:val="00CD5C22"/>
    <w:rsid w:val="00CE363E"/>
    <w:rsid w:val="00CF1430"/>
    <w:rsid w:val="00CF1AE4"/>
    <w:rsid w:val="00D0046C"/>
    <w:rsid w:val="00D00979"/>
    <w:rsid w:val="00D01E3B"/>
    <w:rsid w:val="00D05480"/>
    <w:rsid w:val="00D06EEA"/>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48C5"/>
    <w:rsid w:val="00D3642E"/>
    <w:rsid w:val="00D41F8D"/>
    <w:rsid w:val="00D451AB"/>
    <w:rsid w:val="00D50991"/>
    <w:rsid w:val="00D578AF"/>
    <w:rsid w:val="00D61DA0"/>
    <w:rsid w:val="00D65D7A"/>
    <w:rsid w:val="00D6793A"/>
    <w:rsid w:val="00D7347C"/>
    <w:rsid w:val="00D74D7F"/>
    <w:rsid w:val="00D75348"/>
    <w:rsid w:val="00D80F6F"/>
    <w:rsid w:val="00D820E3"/>
    <w:rsid w:val="00D9342C"/>
    <w:rsid w:val="00D944CB"/>
    <w:rsid w:val="00DA326B"/>
    <w:rsid w:val="00DA3BCE"/>
    <w:rsid w:val="00DA59FA"/>
    <w:rsid w:val="00DB1157"/>
    <w:rsid w:val="00DB295F"/>
    <w:rsid w:val="00DB29E4"/>
    <w:rsid w:val="00DB3826"/>
    <w:rsid w:val="00DB47DC"/>
    <w:rsid w:val="00DB74F2"/>
    <w:rsid w:val="00DC205C"/>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26EE5"/>
    <w:rsid w:val="00E32815"/>
    <w:rsid w:val="00E33554"/>
    <w:rsid w:val="00E40596"/>
    <w:rsid w:val="00E40BA9"/>
    <w:rsid w:val="00E41B77"/>
    <w:rsid w:val="00E45EC3"/>
    <w:rsid w:val="00E47C4F"/>
    <w:rsid w:val="00E541A3"/>
    <w:rsid w:val="00E637BB"/>
    <w:rsid w:val="00E638C8"/>
    <w:rsid w:val="00E658DD"/>
    <w:rsid w:val="00E65D7E"/>
    <w:rsid w:val="00E70383"/>
    <w:rsid w:val="00E7427C"/>
    <w:rsid w:val="00E75972"/>
    <w:rsid w:val="00E815D2"/>
    <w:rsid w:val="00E82204"/>
    <w:rsid w:val="00E8377B"/>
    <w:rsid w:val="00E83A77"/>
    <w:rsid w:val="00E8796C"/>
    <w:rsid w:val="00E90251"/>
    <w:rsid w:val="00E933C0"/>
    <w:rsid w:val="00E962B7"/>
    <w:rsid w:val="00E96877"/>
    <w:rsid w:val="00E978BF"/>
    <w:rsid w:val="00EA1188"/>
    <w:rsid w:val="00EB0752"/>
    <w:rsid w:val="00EB0AE1"/>
    <w:rsid w:val="00EB1186"/>
    <w:rsid w:val="00EB77CC"/>
    <w:rsid w:val="00EC0997"/>
    <w:rsid w:val="00EC2EEF"/>
    <w:rsid w:val="00EC5DDD"/>
    <w:rsid w:val="00ED2F39"/>
    <w:rsid w:val="00ED30F4"/>
    <w:rsid w:val="00ED43BB"/>
    <w:rsid w:val="00ED449A"/>
    <w:rsid w:val="00ED68E9"/>
    <w:rsid w:val="00EE1FC2"/>
    <w:rsid w:val="00EF670C"/>
    <w:rsid w:val="00F11F09"/>
    <w:rsid w:val="00F1455B"/>
    <w:rsid w:val="00F16D36"/>
    <w:rsid w:val="00F210FD"/>
    <w:rsid w:val="00F250D2"/>
    <w:rsid w:val="00F33087"/>
    <w:rsid w:val="00F350B2"/>
    <w:rsid w:val="00F372A2"/>
    <w:rsid w:val="00F4243D"/>
    <w:rsid w:val="00F4304A"/>
    <w:rsid w:val="00F43155"/>
    <w:rsid w:val="00F44DA4"/>
    <w:rsid w:val="00F45BA7"/>
    <w:rsid w:val="00F45BE9"/>
    <w:rsid w:val="00F46308"/>
    <w:rsid w:val="00F46F4A"/>
    <w:rsid w:val="00F52CE1"/>
    <w:rsid w:val="00F57917"/>
    <w:rsid w:val="00F60788"/>
    <w:rsid w:val="00F7063D"/>
    <w:rsid w:val="00F70C88"/>
    <w:rsid w:val="00F7168A"/>
    <w:rsid w:val="00F734AD"/>
    <w:rsid w:val="00F745D9"/>
    <w:rsid w:val="00F76618"/>
    <w:rsid w:val="00F76E42"/>
    <w:rsid w:val="00F81D1B"/>
    <w:rsid w:val="00F83FBC"/>
    <w:rsid w:val="00F841A7"/>
    <w:rsid w:val="00F84292"/>
    <w:rsid w:val="00F85E04"/>
    <w:rsid w:val="00F864DA"/>
    <w:rsid w:val="00F9134D"/>
    <w:rsid w:val="00F916DA"/>
    <w:rsid w:val="00F92643"/>
    <w:rsid w:val="00F936B3"/>
    <w:rsid w:val="00F97F7D"/>
    <w:rsid w:val="00FA0333"/>
    <w:rsid w:val="00FA19D5"/>
    <w:rsid w:val="00FA3EE8"/>
    <w:rsid w:val="00FA6669"/>
    <w:rsid w:val="00FA7639"/>
    <w:rsid w:val="00FB3457"/>
    <w:rsid w:val="00FB3E2C"/>
    <w:rsid w:val="00FB695B"/>
    <w:rsid w:val="00FC037E"/>
    <w:rsid w:val="00FC19B9"/>
    <w:rsid w:val="00FC4DE3"/>
    <w:rsid w:val="00FC6716"/>
    <w:rsid w:val="00FD00A5"/>
    <w:rsid w:val="00FD4B0F"/>
    <w:rsid w:val="00FE0661"/>
    <w:rsid w:val="00FF0C09"/>
    <w:rsid w:val="00FF1DD7"/>
    <w:rsid w:val="00FF3775"/>
    <w:rsid w:val="01CE5D1C"/>
    <w:rsid w:val="02D54924"/>
    <w:rsid w:val="039B3DC0"/>
    <w:rsid w:val="039E595D"/>
    <w:rsid w:val="047C5605"/>
    <w:rsid w:val="057743B8"/>
    <w:rsid w:val="068C79F0"/>
    <w:rsid w:val="069F5975"/>
    <w:rsid w:val="06B56F46"/>
    <w:rsid w:val="070F07F6"/>
    <w:rsid w:val="071D689A"/>
    <w:rsid w:val="07442078"/>
    <w:rsid w:val="08083403"/>
    <w:rsid w:val="08212C9A"/>
    <w:rsid w:val="084367D4"/>
    <w:rsid w:val="087D5842"/>
    <w:rsid w:val="094457E8"/>
    <w:rsid w:val="09644C54"/>
    <w:rsid w:val="09BE5E2A"/>
    <w:rsid w:val="0A091F73"/>
    <w:rsid w:val="0A8504E9"/>
    <w:rsid w:val="0B7A42BB"/>
    <w:rsid w:val="0B971310"/>
    <w:rsid w:val="0CF4009D"/>
    <w:rsid w:val="0D445738"/>
    <w:rsid w:val="0D92619C"/>
    <w:rsid w:val="0DC932D7"/>
    <w:rsid w:val="0F412CA9"/>
    <w:rsid w:val="0FD566D2"/>
    <w:rsid w:val="113849FC"/>
    <w:rsid w:val="11E46932"/>
    <w:rsid w:val="12767ED2"/>
    <w:rsid w:val="129452EC"/>
    <w:rsid w:val="138F7287"/>
    <w:rsid w:val="13B2170D"/>
    <w:rsid w:val="13B97480"/>
    <w:rsid w:val="13E76BAD"/>
    <w:rsid w:val="14034EB5"/>
    <w:rsid w:val="145F04F1"/>
    <w:rsid w:val="14870494"/>
    <w:rsid w:val="15085E8C"/>
    <w:rsid w:val="15174F60"/>
    <w:rsid w:val="152439DA"/>
    <w:rsid w:val="1556095A"/>
    <w:rsid w:val="167D7F24"/>
    <w:rsid w:val="16E55624"/>
    <w:rsid w:val="170E6E89"/>
    <w:rsid w:val="17306AB5"/>
    <w:rsid w:val="17373F64"/>
    <w:rsid w:val="17602EFE"/>
    <w:rsid w:val="1796247C"/>
    <w:rsid w:val="17D31922"/>
    <w:rsid w:val="17F83137"/>
    <w:rsid w:val="192A37C4"/>
    <w:rsid w:val="19A054D6"/>
    <w:rsid w:val="1A620D3B"/>
    <w:rsid w:val="1B0717C8"/>
    <w:rsid w:val="1B495A57"/>
    <w:rsid w:val="1BE33681"/>
    <w:rsid w:val="1C166281"/>
    <w:rsid w:val="1C672639"/>
    <w:rsid w:val="1D0C50A7"/>
    <w:rsid w:val="1DB90E38"/>
    <w:rsid w:val="1DD261D8"/>
    <w:rsid w:val="1F6317DE"/>
    <w:rsid w:val="1F645556"/>
    <w:rsid w:val="1F980D5B"/>
    <w:rsid w:val="20653288"/>
    <w:rsid w:val="20743577"/>
    <w:rsid w:val="20E97AC1"/>
    <w:rsid w:val="217D46AD"/>
    <w:rsid w:val="21862EC6"/>
    <w:rsid w:val="21AD0AEE"/>
    <w:rsid w:val="21B75E11"/>
    <w:rsid w:val="22160D89"/>
    <w:rsid w:val="225966D9"/>
    <w:rsid w:val="226822EA"/>
    <w:rsid w:val="229E2B2D"/>
    <w:rsid w:val="23700025"/>
    <w:rsid w:val="237A2B2A"/>
    <w:rsid w:val="238C6E29"/>
    <w:rsid w:val="245060A9"/>
    <w:rsid w:val="25F413E1"/>
    <w:rsid w:val="26A526DC"/>
    <w:rsid w:val="26CA2142"/>
    <w:rsid w:val="26D11723"/>
    <w:rsid w:val="27174C5C"/>
    <w:rsid w:val="27247AA4"/>
    <w:rsid w:val="27B30E28"/>
    <w:rsid w:val="28A6273B"/>
    <w:rsid w:val="28B25693"/>
    <w:rsid w:val="29B82726"/>
    <w:rsid w:val="29E90B31"/>
    <w:rsid w:val="29F623A2"/>
    <w:rsid w:val="2A1B4A63"/>
    <w:rsid w:val="2A924D25"/>
    <w:rsid w:val="2BE55328"/>
    <w:rsid w:val="2C4E663C"/>
    <w:rsid w:val="2C4F36F5"/>
    <w:rsid w:val="2C673F8F"/>
    <w:rsid w:val="2C73502A"/>
    <w:rsid w:val="2D5F22BD"/>
    <w:rsid w:val="2DBB4593"/>
    <w:rsid w:val="2DD45655"/>
    <w:rsid w:val="2ED457CC"/>
    <w:rsid w:val="2F2820FC"/>
    <w:rsid w:val="2FF37D11"/>
    <w:rsid w:val="300466C5"/>
    <w:rsid w:val="3013049D"/>
    <w:rsid w:val="30C43CFA"/>
    <w:rsid w:val="310224D9"/>
    <w:rsid w:val="31091AB9"/>
    <w:rsid w:val="316867E0"/>
    <w:rsid w:val="33092244"/>
    <w:rsid w:val="332C3D99"/>
    <w:rsid w:val="33391EFA"/>
    <w:rsid w:val="33446DD8"/>
    <w:rsid w:val="34394463"/>
    <w:rsid w:val="34930017"/>
    <w:rsid w:val="353D7F83"/>
    <w:rsid w:val="365875C5"/>
    <w:rsid w:val="3768578B"/>
    <w:rsid w:val="381256F7"/>
    <w:rsid w:val="38C23DE9"/>
    <w:rsid w:val="393022D9"/>
    <w:rsid w:val="39311BAD"/>
    <w:rsid w:val="39356049"/>
    <w:rsid w:val="39903AEB"/>
    <w:rsid w:val="3B4E60E4"/>
    <w:rsid w:val="3BFE2074"/>
    <w:rsid w:val="3C236125"/>
    <w:rsid w:val="3E2148E6"/>
    <w:rsid w:val="3EC7548D"/>
    <w:rsid w:val="3F8C7277"/>
    <w:rsid w:val="3FA0222F"/>
    <w:rsid w:val="409F1AF2"/>
    <w:rsid w:val="40E35E83"/>
    <w:rsid w:val="42D769B6"/>
    <w:rsid w:val="44406040"/>
    <w:rsid w:val="44E73A68"/>
    <w:rsid w:val="44F600D3"/>
    <w:rsid w:val="450B59A8"/>
    <w:rsid w:val="45617704"/>
    <w:rsid w:val="457277D5"/>
    <w:rsid w:val="45C67B21"/>
    <w:rsid w:val="46CE3131"/>
    <w:rsid w:val="478B1022"/>
    <w:rsid w:val="4882590A"/>
    <w:rsid w:val="48B048DB"/>
    <w:rsid w:val="48B3438D"/>
    <w:rsid w:val="490A38A3"/>
    <w:rsid w:val="49107A31"/>
    <w:rsid w:val="49465201"/>
    <w:rsid w:val="49557B3A"/>
    <w:rsid w:val="49F7299F"/>
    <w:rsid w:val="4B257098"/>
    <w:rsid w:val="4B8C0594"/>
    <w:rsid w:val="4C0F7B1B"/>
    <w:rsid w:val="4CA23096"/>
    <w:rsid w:val="4CB608EF"/>
    <w:rsid w:val="4CD86AB8"/>
    <w:rsid w:val="4CFE380A"/>
    <w:rsid w:val="4D5F2D35"/>
    <w:rsid w:val="4D862B8C"/>
    <w:rsid w:val="4DB50BA7"/>
    <w:rsid w:val="4DFC0584"/>
    <w:rsid w:val="4DFF35F5"/>
    <w:rsid w:val="4E683E6B"/>
    <w:rsid w:val="4ECF7A46"/>
    <w:rsid w:val="4EF47599"/>
    <w:rsid w:val="4F147B4F"/>
    <w:rsid w:val="4F840831"/>
    <w:rsid w:val="4FA17635"/>
    <w:rsid w:val="4FC6709B"/>
    <w:rsid w:val="4FE3578A"/>
    <w:rsid w:val="4FF37764"/>
    <w:rsid w:val="506019B6"/>
    <w:rsid w:val="50CC06E1"/>
    <w:rsid w:val="518F170F"/>
    <w:rsid w:val="51962A9D"/>
    <w:rsid w:val="5215084E"/>
    <w:rsid w:val="52195BA8"/>
    <w:rsid w:val="521D5006"/>
    <w:rsid w:val="523A78CD"/>
    <w:rsid w:val="52CA29FF"/>
    <w:rsid w:val="54B5148C"/>
    <w:rsid w:val="54E94B5B"/>
    <w:rsid w:val="55302CD1"/>
    <w:rsid w:val="55410330"/>
    <w:rsid w:val="55661639"/>
    <w:rsid w:val="55761622"/>
    <w:rsid w:val="56372AA1"/>
    <w:rsid w:val="56811F6E"/>
    <w:rsid w:val="580C1D0B"/>
    <w:rsid w:val="58B33F35"/>
    <w:rsid w:val="5ADA7E9F"/>
    <w:rsid w:val="5B5163B3"/>
    <w:rsid w:val="5B5C6B06"/>
    <w:rsid w:val="5BD857FA"/>
    <w:rsid w:val="5C080481"/>
    <w:rsid w:val="5C4750C0"/>
    <w:rsid w:val="5CF60894"/>
    <w:rsid w:val="5D0C00B7"/>
    <w:rsid w:val="5D323FC2"/>
    <w:rsid w:val="5E202145"/>
    <w:rsid w:val="5EE412EC"/>
    <w:rsid w:val="5EEB267A"/>
    <w:rsid w:val="5F621BCD"/>
    <w:rsid w:val="6031647B"/>
    <w:rsid w:val="60341DFF"/>
    <w:rsid w:val="60433DF0"/>
    <w:rsid w:val="60C0559A"/>
    <w:rsid w:val="6192502F"/>
    <w:rsid w:val="62467BC8"/>
    <w:rsid w:val="628A21AA"/>
    <w:rsid w:val="62922E0D"/>
    <w:rsid w:val="62AA0157"/>
    <w:rsid w:val="62F74A7A"/>
    <w:rsid w:val="630E6937"/>
    <w:rsid w:val="63464323"/>
    <w:rsid w:val="64283A29"/>
    <w:rsid w:val="64DD0CB7"/>
    <w:rsid w:val="653A1C66"/>
    <w:rsid w:val="65B0271B"/>
    <w:rsid w:val="664803B2"/>
    <w:rsid w:val="668E2223"/>
    <w:rsid w:val="669B4986"/>
    <w:rsid w:val="683026D9"/>
    <w:rsid w:val="687C2595"/>
    <w:rsid w:val="689A6DDC"/>
    <w:rsid w:val="693F388B"/>
    <w:rsid w:val="69F85C4B"/>
    <w:rsid w:val="6A22716C"/>
    <w:rsid w:val="6A892D47"/>
    <w:rsid w:val="6AC124E1"/>
    <w:rsid w:val="6AF64881"/>
    <w:rsid w:val="6BC54253"/>
    <w:rsid w:val="6CFC3CA5"/>
    <w:rsid w:val="6D0F1C2A"/>
    <w:rsid w:val="6D2531FB"/>
    <w:rsid w:val="6D763A57"/>
    <w:rsid w:val="6DBA21A1"/>
    <w:rsid w:val="6EF32E85"/>
    <w:rsid w:val="6F20011E"/>
    <w:rsid w:val="6F5C6C7D"/>
    <w:rsid w:val="6F9603E0"/>
    <w:rsid w:val="6FFD3FBC"/>
    <w:rsid w:val="70D86148"/>
    <w:rsid w:val="70FD7FEB"/>
    <w:rsid w:val="713A54D6"/>
    <w:rsid w:val="71B51D7E"/>
    <w:rsid w:val="724A7260"/>
    <w:rsid w:val="72514A93"/>
    <w:rsid w:val="73593BFF"/>
    <w:rsid w:val="73731F46"/>
    <w:rsid w:val="738D5656"/>
    <w:rsid w:val="73AA6208"/>
    <w:rsid w:val="747F58E7"/>
    <w:rsid w:val="74943E9C"/>
    <w:rsid w:val="75120509"/>
    <w:rsid w:val="77291B3A"/>
    <w:rsid w:val="78AF3D07"/>
    <w:rsid w:val="7AF5051C"/>
    <w:rsid w:val="7BBA680A"/>
    <w:rsid w:val="7BE826AE"/>
    <w:rsid w:val="7C3F770A"/>
    <w:rsid w:val="7C882937"/>
    <w:rsid w:val="7CCF532E"/>
    <w:rsid w:val="7E00338F"/>
    <w:rsid w:val="7FC22B2C"/>
    <w:rsid w:val="7FF8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BodyText2"/>
    <w:basedOn w:val="1"/>
    <w:qFormat/>
    <w:uiPriority w:val="0"/>
    <w:pPr>
      <w:spacing w:after="120" w:line="480" w:lineRule="auto"/>
      <w:textAlignment w:val="baseline"/>
    </w:pPr>
    <w:rPr>
      <w:sz w:val="32"/>
      <w:szCs w:val="32"/>
    </w:rPr>
  </w:style>
  <w:style w:type="paragraph" w:styleId="3">
    <w:name w:val="Balloon Text"/>
    <w:basedOn w:val="1"/>
    <w:link w:val="37"/>
    <w:semiHidden/>
    <w:unhideWhenUsed/>
    <w:qFormat/>
    <w:uiPriority w:val="0"/>
    <w:rPr>
      <w:sz w:val="18"/>
      <w:szCs w:val="18"/>
    </w:rPr>
  </w:style>
  <w:style w:type="paragraph" w:styleId="4">
    <w:name w:val="footer"/>
    <w:basedOn w:val="1"/>
    <w:link w:val="29"/>
    <w:qFormat/>
    <w:uiPriority w:val="99"/>
    <w:pPr>
      <w:tabs>
        <w:tab w:val="center" w:pos="4153"/>
        <w:tab w:val="right" w:pos="8306"/>
      </w:tabs>
      <w:snapToGrid w:val="0"/>
      <w:jc w:val="left"/>
    </w:pPr>
    <w:rPr>
      <w:sz w:val="18"/>
      <w:szCs w:val="18"/>
    </w:rPr>
  </w:style>
  <w:style w:type="paragraph" w:styleId="5">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kern w:val="0"/>
      <w:sz w:val="24"/>
    </w:rPr>
  </w:style>
  <w:style w:type="table" w:styleId="8">
    <w:name w:val="Table Grid"/>
    <w:basedOn w:val="7"/>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Strong"/>
    <w:basedOn w:val="9"/>
    <w:qFormat/>
    <w:uiPriority w:val="0"/>
    <w:rPr>
      <w:b/>
    </w:rPr>
  </w:style>
  <w:style w:type="character" w:styleId="11">
    <w:name w:val="Hyperlink"/>
    <w:basedOn w:val="9"/>
    <w:unhideWhenUsed/>
    <w:qFormat/>
    <w:uiPriority w:val="99"/>
    <w:rPr>
      <w:color w:val="0000FF"/>
      <w:u w:val="single"/>
    </w:rPr>
  </w:style>
  <w:style w:type="paragraph" w:customStyle="1" w:styleId="12">
    <w:name w:val="段"/>
    <w:link w:val="2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3">
    <w:name w:val="正文表标题"/>
    <w:next w:val="1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4">
    <w:name w:val="正文图标题"/>
    <w:next w:val="12"/>
    <w:qFormat/>
    <w:uiPriority w:val="0"/>
    <w:pPr>
      <w:numPr>
        <w:ilvl w:val="0"/>
        <w:numId w:val="1"/>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5">
    <w:name w:val="其他发布日期"/>
    <w:basedOn w:val="1"/>
    <w:qFormat/>
    <w:uiPriority w:val="0"/>
    <w:pPr>
      <w:framePr w:w="3997" w:h="471" w:hRule="exact" w:vSpace="181" w:wrap="around" w:vAnchor="page" w:hAnchor="page" w:x="1419" w:y="14097" w:anchorLock="1"/>
      <w:widowControl/>
      <w:numPr>
        <w:ilvl w:val="0"/>
        <w:numId w:val="2"/>
      </w:numPr>
      <w:jc w:val="left"/>
    </w:pPr>
    <w:rPr>
      <w:rFonts w:eastAsia="黑体"/>
      <w:kern w:val="0"/>
      <w:sz w:val="28"/>
      <w:szCs w:val="20"/>
    </w:rPr>
  </w:style>
  <w:style w:type="paragraph" w:customStyle="1" w:styleId="16">
    <w:name w:val="一级条标题"/>
    <w:next w:val="12"/>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paragraph" w:customStyle="1" w:styleId="17">
    <w:name w:val="章标题"/>
    <w:next w:val="12"/>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18">
    <w:name w:val="二级条标题"/>
    <w:basedOn w:val="16"/>
    <w:next w:val="12"/>
    <w:qFormat/>
    <w:uiPriority w:val="0"/>
    <w:pPr>
      <w:numPr>
        <w:ilvl w:val="2"/>
      </w:numPr>
      <w:spacing w:before="50" w:after="50"/>
      <w:outlineLvl w:val="3"/>
    </w:pPr>
  </w:style>
  <w:style w:type="paragraph" w:customStyle="1" w:styleId="19">
    <w:name w:val="三级条标题"/>
    <w:basedOn w:val="18"/>
    <w:next w:val="12"/>
    <w:qFormat/>
    <w:uiPriority w:val="0"/>
    <w:pPr>
      <w:numPr>
        <w:ilvl w:val="3"/>
      </w:numPr>
      <w:outlineLvl w:val="4"/>
    </w:pPr>
  </w:style>
  <w:style w:type="paragraph" w:customStyle="1" w:styleId="20">
    <w:name w:val="四级条标题"/>
    <w:basedOn w:val="19"/>
    <w:next w:val="12"/>
    <w:qFormat/>
    <w:uiPriority w:val="0"/>
    <w:pPr>
      <w:numPr>
        <w:ilvl w:val="4"/>
      </w:numPr>
      <w:outlineLvl w:val="5"/>
    </w:pPr>
  </w:style>
  <w:style w:type="paragraph" w:customStyle="1" w:styleId="21">
    <w:name w:val="五级条标题"/>
    <w:basedOn w:val="20"/>
    <w:next w:val="12"/>
    <w:qFormat/>
    <w:uiPriority w:val="0"/>
    <w:pPr>
      <w:numPr>
        <w:ilvl w:val="5"/>
      </w:numPr>
      <w:outlineLvl w:val="6"/>
    </w:pPr>
  </w:style>
  <w:style w:type="paragraph" w:customStyle="1" w:styleId="22">
    <w:name w:val="注："/>
    <w:next w:val="12"/>
    <w:qFormat/>
    <w:uiPriority w:val="0"/>
    <w:pPr>
      <w:widowControl w:val="0"/>
      <w:numPr>
        <w:ilvl w:val="0"/>
        <w:numId w:val="4"/>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3">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24">
    <w:name w:val="附录图标题"/>
    <w:basedOn w:val="1"/>
    <w:next w:val="12"/>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25">
    <w:name w:val="注×：（正文）"/>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26">
    <w:name w:val="图表脚注说明"/>
    <w:basedOn w:val="1"/>
    <w:qFormat/>
    <w:uiPriority w:val="0"/>
    <w:pPr>
      <w:numPr>
        <w:ilvl w:val="0"/>
        <w:numId w:val="7"/>
      </w:numPr>
    </w:pPr>
    <w:rPr>
      <w:rFonts w:ascii="宋体"/>
      <w:sz w:val="18"/>
      <w:szCs w:val="18"/>
    </w:rPr>
  </w:style>
  <w:style w:type="character" w:customStyle="1" w:styleId="27">
    <w:name w:val="段 Char"/>
    <w:basedOn w:val="9"/>
    <w:link w:val="12"/>
    <w:qFormat/>
    <w:uiPriority w:val="0"/>
    <w:rPr>
      <w:rFonts w:ascii="宋体"/>
      <w:sz w:val="21"/>
      <w:lang w:val="en-US" w:eastAsia="zh-CN" w:bidi="ar-SA"/>
    </w:rPr>
  </w:style>
  <w:style w:type="character" w:customStyle="1" w:styleId="28">
    <w:name w:val="页眉 字符"/>
    <w:basedOn w:val="9"/>
    <w:link w:val="5"/>
    <w:qFormat/>
    <w:uiPriority w:val="0"/>
    <w:rPr>
      <w:kern w:val="2"/>
      <w:sz w:val="18"/>
      <w:szCs w:val="18"/>
    </w:rPr>
  </w:style>
  <w:style w:type="character" w:customStyle="1" w:styleId="29">
    <w:name w:val="页脚 字符"/>
    <w:basedOn w:val="9"/>
    <w:link w:val="4"/>
    <w:qFormat/>
    <w:uiPriority w:val="99"/>
    <w:rPr>
      <w:kern w:val="2"/>
      <w:sz w:val="18"/>
      <w:szCs w:val="18"/>
    </w:rPr>
  </w:style>
  <w:style w:type="paragraph" w:customStyle="1" w:styleId="30">
    <w:name w:val="附录表标题"/>
    <w:basedOn w:val="1"/>
    <w:next w:val="12"/>
    <w:qFormat/>
    <w:uiPriority w:val="0"/>
    <w:pPr>
      <w:numPr>
        <w:ilvl w:val="1"/>
        <w:numId w:val="8"/>
      </w:numPr>
      <w:tabs>
        <w:tab w:val="left" w:pos="180"/>
      </w:tabs>
      <w:spacing w:beforeLines="50" w:afterLines="50"/>
      <w:ind w:left="0" w:firstLine="0"/>
      <w:jc w:val="center"/>
    </w:pPr>
    <w:rPr>
      <w:rFonts w:ascii="黑体" w:eastAsia="黑体"/>
      <w:szCs w:val="21"/>
    </w:rPr>
  </w:style>
  <w:style w:type="paragraph" w:styleId="31">
    <w:name w:val="List Paragraph"/>
    <w:basedOn w:val="1"/>
    <w:unhideWhenUsed/>
    <w:qFormat/>
    <w:uiPriority w:val="34"/>
    <w:pPr>
      <w:ind w:firstLine="420" w:firstLineChars="200"/>
    </w:pPr>
  </w:style>
  <w:style w:type="paragraph" w:customStyle="1" w:styleId="3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4">
    <w:name w:val="发布"/>
    <w:qFormat/>
    <w:uiPriority w:val="0"/>
    <w:rPr>
      <w:rFonts w:ascii="黑体" w:eastAsia="黑体"/>
      <w:spacing w:val="22"/>
      <w:w w:val="100"/>
      <w:position w:val="3"/>
      <w:sz w:val="28"/>
    </w:rPr>
  </w:style>
  <w:style w:type="paragraph" w:customStyle="1" w:styleId="35">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7">
    <w:name w:val="批注框文本 字符"/>
    <w:basedOn w:val="9"/>
    <w:link w:val="3"/>
    <w:semiHidden/>
    <w:qFormat/>
    <w:uiPriority w:val="0"/>
    <w:rPr>
      <w:rFonts w:ascii="Times New Roman" w:hAnsi="Times New Roman"/>
      <w:kern w:val="2"/>
      <w:sz w:val="18"/>
      <w:szCs w:val="18"/>
    </w:rPr>
  </w:style>
  <w:style w:type="table" w:customStyle="1" w:styleId="38">
    <w:name w:val="网格型浅色1"/>
    <w:basedOn w:val="7"/>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39">
    <w:name w:val="font11"/>
    <w:basedOn w:val="9"/>
    <w:qFormat/>
    <w:uiPriority w:val="0"/>
    <w:rPr>
      <w:rFonts w:hint="eastAsia" w:ascii="宋体" w:hAnsi="宋体" w:eastAsia="宋体" w:cs="宋体"/>
      <w:color w:val="000000"/>
      <w:sz w:val="19"/>
      <w:szCs w:val="19"/>
      <w:u w:val="none"/>
    </w:rPr>
  </w:style>
  <w:style w:type="character" w:customStyle="1" w:styleId="40">
    <w:name w:val="font21"/>
    <w:basedOn w:val="9"/>
    <w:qFormat/>
    <w:uiPriority w:val="0"/>
    <w:rPr>
      <w:rFonts w:hint="eastAsia" w:ascii="宋体" w:hAnsi="宋体" w:eastAsia="宋体" w:cs="宋体"/>
      <w:color w:val="000000"/>
      <w:sz w:val="19"/>
      <w:szCs w:val="19"/>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21</Pages>
  <Words>5175</Words>
  <Characters>5444</Characters>
  <Lines>2</Lines>
  <Paragraphs>5</Paragraphs>
  <TotalTime>1</TotalTime>
  <ScaleCrop>false</ScaleCrop>
  <LinksUpToDate>false</LinksUpToDate>
  <CharactersWithSpaces>5491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2023-08-14T06:51:00Z</dcterms:created>
  <dc:creator>USER</dc:creator>
  <cp:lastModifiedBy>河中鱼</cp:lastModifiedBy>
  <cp:lastPrinted>2019-07-10T11:21:00Z</cp:lastPrinted>
  <dcterms:modified xsi:type="dcterms:W3CDTF">2025-09-28T04:56:46Z</dcterms:modified>
  <dc:title>广西地方标准《脱氢枞酸》（征求意见稿）</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484DF7F1BEB842158BCD0584349217B5</vt:lpwstr>
  </property>
  <property fmtid="{D5CDD505-2E9C-101B-9397-08002B2CF9AE}" pid="4" name="KSOTemplateDocerSaveRecord">
    <vt:lpwstr>eyJoZGlkIjoiYWZjNGU2M2Y2NzcyODU5MmE2MzU2MGIyMTFlNjRhMjIiLCJ1c2VySWQiOiIxNjgzMDY0NzMzIn0=</vt:lpwstr>
  </property>
</Properties>
</file>